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5089D09F" w:rsidR="008A332F" w:rsidRDefault="00D8038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D5DF3E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8038E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8038E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3252F434" w:rsidR="00CA516B" w:rsidRPr="002B50C0" w:rsidRDefault="00D8038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8038E">
              <w:rPr>
                <w:rFonts w:ascii="Arial" w:hAnsi="Arial" w:cs="Arial"/>
                <w:i/>
                <w:sz w:val="20"/>
              </w:rPr>
              <w:t>Rozwój Systemu Obsługi List Refundacyjnych (SOLR 2.0)</w:t>
            </w:r>
          </w:p>
        </w:tc>
      </w:tr>
      <w:tr w:rsidR="00CA516B" w:rsidRPr="002B50C0" w14:paraId="05B59807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CD28BF4" w:rsidR="00CA516B" w:rsidRPr="00141A92" w:rsidRDefault="00D8038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F23FF4E" w:rsidR="00CA516B" w:rsidRPr="006822BC" w:rsidRDefault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Centrum e-Zdrowia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3CD091CC" w:rsidR="00CA516B" w:rsidRPr="00141A92" w:rsidRDefault="00D8038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92CAB" w14:textId="0B2A81F2" w:rsidR="00D8038E" w:rsidRDefault="00D8038E" w:rsidP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 xml:space="preserve">Budżet państwa cz. 46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8038E">
              <w:rPr>
                <w:rFonts w:ascii="Arial" w:hAnsi="Arial" w:cs="Arial"/>
                <w:sz w:val="18"/>
                <w:szCs w:val="18"/>
              </w:rPr>
              <w:t xml:space="preserve"> Zdrowie</w:t>
            </w:r>
          </w:p>
          <w:p w14:paraId="55582688" w14:textId="66122E6B" w:rsidR="00CA516B" w:rsidRPr="00141A92" w:rsidRDefault="00D8038E" w:rsidP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Fundusze Europejskie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38E">
              <w:rPr>
                <w:rFonts w:ascii="Arial" w:hAnsi="Arial" w:cs="Arial"/>
                <w:sz w:val="18"/>
                <w:szCs w:val="18"/>
              </w:rPr>
              <w:t>Rozwój Cyfrowy, Działanie FERC.02.01 Wysoka jakość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38E">
              <w:rPr>
                <w:rFonts w:ascii="Arial" w:hAnsi="Arial" w:cs="Arial"/>
                <w:sz w:val="18"/>
                <w:szCs w:val="18"/>
              </w:rPr>
              <w:t>dostępność e-usług publicznych</w:t>
            </w:r>
          </w:p>
        </w:tc>
      </w:tr>
      <w:tr w:rsidR="00CA516B" w:rsidRPr="002B50C0" w14:paraId="2772BBC9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1781C0CC" w:rsidR="00CA516B" w:rsidRPr="00141A92" w:rsidRDefault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5212C8" w:rsidRPr="002B50C0" w14:paraId="6CD831AF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1FF3A32" w:rsidR="005212C8" w:rsidRPr="00141A92" w:rsidRDefault="00F77C8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CA516B" w:rsidRPr="002B50C0" w14:paraId="716F76F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FCE20" w14:textId="09B0356B" w:rsidR="00D8038E" w:rsidRPr="00BB423D" w:rsidRDefault="00D8038E" w:rsidP="00D8038E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400A42EF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01.01.2024</w:t>
            </w:r>
          </w:p>
          <w:p w14:paraId="55CE9679" w14:textId="5430440F" w:rsidR="00CA516B" w:rsidRPr="00141A92" w:rsidRDefault="00D8038E" w:rsidP="00D8038E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DB064EC" w14:textId="0CA9E116" w:rsidR="00D8038E" w:rsidRPr="00FD089B" w:rsidRDefault="008F14BA" w:rsidP="00FD089B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FD089B">
        <w:rPr>
          <w:rFonts w:ascii="Arial" w:eastAsiaTheme="minorHAnsi" w:hAnsi="Arial" w:cs="Arial"/>
          <w:color w:val="auto"/>
          <w:sz w:val="18"/>
          <w:szCs w:val="18"/>
        </w:rPr>
        <w:t>Projekt nie wymaga zmian prawnych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A95A6E" w:rsidRDefault="00795AFA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95A6E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71684260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0"/>
          </w:p>
        </w:tc>
      </w:tr>
      <w:tr w:rsidR="00F77C86" w:rsidRPr="00F77C86" w14:paraId="0F888CA0" w14:textId="77777777" w:rsidTr="001475E8">
        <w:tc>
          <w:tcPr>
            <w:tcW w:w="2972" w:type="dxa"/>
          </w:tcPr>
          <w:p w14:paraId="358B8B0F" w14:textId="2DD7333D" w:rsidR="00F77C86" w:rsidRPr="00F77C86" w:rsidRDefault="00FD089B" w:rsidP="001475E8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8,33</w:t>
            </w:r>
            <w:r w:rsidR="00F77C86" w:rsidRPr="00F77C86">
              <w:rPr>
                <w:rFonts w:ascii="Arial" w:hAnsi="Arial" w:cs="Arial"/>
                <w:b/>
                <w:bCs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76D51BC0" w14:textId="44DBFFD8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Fonts w:ascii="Arial" w:hAnsi="Arial" w:cs="Arial"/>
                <w:sz w:val="18"/>
                <w:szCs w:val="20"/>
              </w:rPr>
              <w:t xml:space="preserve"> 1. </w:t>
            </w:r>
            <w:r w:rsidRPr="00F77C86">
              <w:rPr>
                <w:rStyle w:val="Pogrubienie"/>
              </w:rPr>
              <w:t>0 % </w:t>
            </w:r>
            <w:r w:rsidRPr="00F77C86">
              <w:rPr>
                <w:rStyle w:val="ui-provider"/>
              </w:rPr>
              <w:t> </w:t>
            </w:r>
            <w:r w:rsidRPr="00F77C86">
              <w:br/>
            </w:r>
            <w:r w:rsidRPr="00F77C86">
              <w:rPr>
                <w:rStyle w:val="ui-provider"/>
                <w:i/>
                <w:iCs/>
              </w:rPr>
              <w:t>(Porozumienie o dofinansowanie zostało podpisane 29.04.2024, w podanym okresie sprawozdawczym nie poniesiono żadnych wydatków.)</w:t>
            </w:r>
            <w:r w:rsidRPr="00F77C86">
              <w:rPr>
                <w:rStyle w:val="ui-provider"/>
              </w:rPr>
              <w:t> </w:t>
            </w:r>
          </w:p>
          <w:p w14:paraId="7467202D" w14:textId="03FD2A5C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Pr="00F77C86">
              <w:rPr>
                <w:rStyle w:val="Pogrubienie"/>
                <w:i/>
                <w:iCs/>
              </w:rPr>
              <w:t>0 %</w:t>
            </w:r>
            <w:r w:rsidRPr="00F77C86">
              <w:rPr>
                <w:rStyle w:val="ui-provider"/>
                <w:i/>
                <w:iCs/>
              </w:rPr>
              <w:t> </w:t>
            </w:r>
            <w:r w:rsidRPr="00F77C86">
              <w:rPr>
                <w:rStyle w:val="ui-provider"/>
              </w:rPr>
              <w:t> </w:t>
            </w:r>
            <w:r w:rsidRPr="00F77C86">
              <w:br/>
            </w:r>
            <w:r w:rsidRPr="00F77C86">
              <w:rPr>
                <w:rStyle w:val="ui-provider"/>
                <w:i/>
                <w:iCs/>
              </w:rPr>
              <w:t xml:space="preserve">(Porozumienie o dofinansowanie z CPPC podpisane zostało 29.04.2024. Pierwszy wniosek o płatność powinien być złożony w terminie do 3 miesięcy od podpisania Porozumienia. Pierwszy wniosek o płatność -sprawozdawczy za okres od 01.01.2024 do 30.06.2024 nie będzie obejmował wydatków kwalifikowalnych.) </w:t>
            </w:r>
          </w:p>
          <w:p w14:paraId="472E3824" w14:textId="636C3FBA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F77C86">
              <w:rPr>
                <w:rStyle w:val="Pogrubienie"/>
                <w:i/>
                <w:iCs/>
              </w:rPr>
              <w:t>0 %</w:t>
            </w:r>
            <w:r w:rsidRPr="00F77C86">
              <w:rPr>
                <w:rStyle w:val="ui-provider"/>
                <w:i/>
                <w:iCs/>
              </w:rPr>
              <w:t> </w:t>
            </w:r>
            <w:r w:rsidRPr="00F77C86">
              <w:rPr>
                <w:rStyle w:val="ui-provider"/>
              </w:rPr>
              <w:t> </w:t>
            </w:r>
          </w:p>
          <w:p w14:paraId="532C878E" w14:textId="77777777" w:rsidR="00F77C86" w:rsidRPr="00F77C86" w:rsidRDefault="00F77C86" w:rsidP="001475E8">
            <w:pPr>
              <w:pStyle w:val="Akapitzlist"/>
              <w:ind w:left="3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E59418D" w14:textId="5FF3200C" w:rsidR="00F77C86" w:rsidRPr="00F77C86" w:rsidRDefault="00F77C86" w:rsidP="001475E8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sz w:val="18"/>
                <w:szCs w:val="20"/>
              </w:rPr>
              <w:t>0 %</w:t>
            </w:r>
          </w:p>
          <w:p w14:paraId="7134BECC" w14:textId="77777777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Style w:val="ui-provider"/>
                <w:i/>
                <w:iCs/>
              </w:rPr>
              <w:t>(Porozumienie o dofinansowanie zostało podpisane 29.04.2024, w podanym okresie sprawozdawczym nie poniesiono żadnych wydatków.)</w:t>
            </w:r>
            <w:r w:rsidRPr="00F77C86">
              <w:rPr>
                <w:rStyle w:val="ui-provider"/>
              </w:rPr>
              <w:t> 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59C81F19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7C8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77C86">
              <w:rPr>
                <w:rFonts w:ascii="Arial" w:hAnsi="Arial" w:cs="Arial"/>
                <w:b/>
                <w:sz w:val="20"/>
                <w:szCs w:val="20"/>
              </w:rPr>
              <w:t>owiązane wskaźniki projektu</w:t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96FA6" w:rsidRPr="002B50C0" w14:paraId="7E2F8336" w14:textId="77777777" w:rsidTr="00125807">
        <w:tc>
          <w:tcPr>
            <w:tcW w:w="2127" w:type="dxa"/>
            <w:vAlign w:val="center"/>
          </w:tcPr>
          <w:p w14:paraId="17325C20" w14:textId="3F047A2C" w:rsidR="00996FA6" w:rsidRPr="001633C4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Dostarczona infrastruktura sprzętowa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F7B1" w14:textId="569FE043" w:rsidR="00996FA6" w:rsidRPr="00141A92" w:rsidRDefault="00F77C86" w:rsidP="00996F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39F0065" w14:textId="4AD3AC28" w:rsidR="00996FA6" w:rsidRPr="001633C4" w:rsidRDefault="00996FA6" w:rsidP="00996FA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5DED3EC" w14:textId="77777777" w:rsidR="00996FA6" w:rsidRPr="001B6667" w:rsidRDefault="00996FA6" w:rsidP="00996FA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EEFDBB8" w14:textId="77777777" w:rsidR="00996FA6" w:rsidRDefault="00D27899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B566BF6" w14:textId="77777777" w:rsidR="007B1566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74DC2D" w14:textId="33D578B6" w:rsidR="007B1566" w:rsidRPr="00D27899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FA6" w:rsidRPr="002B50C0" w14:paraId="67C87F6B" w14:textId="77777777" w:rsidTr="00125807">
        <w:tc>
          <w:tcPr>
            <w:tcW w:w="2127" w:type="dxa"/>
            <w:vAlign w:val="center"/>
          </w:tcPr>
          <w:p w14:paraId="3EF6A055" w14:textId="29CFC207" w:rsidR="00996FA6" w:rsidRPr="001633C4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Dostarczona infrastruktura systemowa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C196" w14:textId="05683BC6" w:rsidR="00996FA6" w:rsidRPr="00141A92" w:rsidRDefault="00F77C86" w:rsidP="00996F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51C4FC4" w14:textId="337A7DB5" w:rsidR="00996FA6" w:rsidRPr="001633C4" w:rsidRDefault="00996FA6" w:rsidP="00996FA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4A2CD57D" w14:textId="77777777" w:rsidR="00996FA6" w:rsidRPr="001B6667" w:rsidRDefault="00996FA6" w:rsidP="00996FA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BCA1233" w14:textId="77777777" w:rsidR="00996FA6" w:rsidRDefault="00D27899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D047ADF" w14:textId="77777777" w:rsidR="007B1566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06FA99" w14:textId="1F84B7E2" w:rsidR="007B1566" w:rsidRPr="00D27899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C86" w:rsidRPr="002B50C0" w14:paraId="2E094ADF" w14:textId="77777777" w:rsidTr="00125807">
        <w:tc>
          <w:tcPr>
            <w:tcW w:w="2127" w:type="dxa"/>
            <w:vAlign w:val="center"/>
          </w:tcPr>
          <w:p w14:paraId="3B0D4E32" w14:textId="22534A6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konfiguracją dostarczonej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B2F4" w14:textId="2F82572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6E580" w14:textId="2CE278A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07-2024</w:t>
            </w:r>
          </w:p>
        </w:tc>
        <w:tc>
          <w:tcPr>
            <w:tcW w:w="1914" w:type="dxa"/>
          </w:tcPr>
          <w:p w14:paraId="0FDF357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1121702" w14:textId="79A3717B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F77C86" w:rsidRPr="002B50C0" w14:paraId="5B4E48E1" w14:textId="77777777" w:rsidTr="00125807">
        <w:tc>
          <w:tcPr>
            <w:tcW w:w="2127" w:type="dxa"/>
            <w:vAlign w:val="center"/>
          </w:tcPr>
          <w:p w14:paraId="0246D9E6" w14:textId="705B272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 Zakończone prace nad analizą biznesowo-techniczną (ABT)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FD41" w14:textId="36562A3E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79FDA95D" w14:textId="3817EE2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13574435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E05CA1" w14:textId="7249BDD3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1CD93DE7" w14:textId="77777777" w:rsidTr="00125807">
        <w:tc>
          <w:tcPr>
            <w:tcW w:w="2127" w:type="dxa"/>
            <w:vAlign w:val="center"/>
          </w:tcPr>
          <w:p w14:paraId="706849BF" w14:textId="73FA61D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dokumentacją projektową, w tym: plan testów, plan migracji, plan startu produkcyjnego, plan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0784" w14:textId="229F5368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738C8" w14:textId="0B82845E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06-2025</w:t>
            </w:r>
          </w:p>
        </w:tc>
        <w:tc>
          <w:tcPr>
            <w:tcW w:w="1914" w:type="dxa"/>
          </w:tcPr>
          <w:p w14:paraId="1C5A24CE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942A5A3" w14:textId="12044563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341612E" w14:textId="77777777" w:rsidTr="00125807">
        <w:tc>
          <w:tcPr>
            <w:tcW w:w="2127" w:type="dxa"/>
            <w:vAlign w:val="center"/>
          </w:tcPr>
          <w:p w14:paraId="42304D9B" w14:textId="6788E21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Wdrożona w nowej technologii na środowisko preprodukcyjne funkcjonalność dotychczasowego SOLR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E1251" w14:textId="554F902D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6B1938D" w14:textId="5CF59A7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12-2025</w:t>
            </w:r>
          </w:p>
        </w:tc>
        <w:tc>
          <w:tcPr>
            <w:tcW w:w="1914" w:type="dxa"/>
          </w:tcPr>
          <w:p w14:paraId="4576782A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CECCB55" w14:textId="48E692A6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64938A3" w14:textId="77777777" w:rsidTr="00125807">
        <w:tc>
          <w:tcPr>
            <w:tcW w:w="2127" w:type="dxa"/>
            <w:vAlign w:val="center"/>
          </w:tcPr>
          <w:p w14:paraId="1AD8BED9" w14:textId="0956EDAB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Wdrożone nowe podejście do RSS’ów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56BD" w14:textId="685AEE8E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0EF24437" w14:textId="2736992C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12-2025</w:t>
            </w:r>
          </w:p>
        </w:tc>
        <w:tc>
          <w:tcPr>
            <w:tcW w:w="1914" w:type="dxa"/>
          </w:tcPr>
          <w:p w14:paraId="7F2FA441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1BD4D3E" w14:textId="5094C02C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718C847" w14:textId="77777777" w:rsidTr="00125807">
        <w:tc>
          <w:tcPr>
            <w:tcW w:w="2127" w:type="dxa"/>
            <w:vAlign w:val="center"/>
          </w:tcPr>
          <w:p w14:paraId="3FA4AE8D" w14:textId="66E87403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przygotowaniem API dla RPL, ZSMOPL, eGabinet, SGR, Hurtowni danych CEZ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290C" w14:textId="037EA01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F387252" w14:textId="287BB843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01-2026</w:t>
            </w:r>
          </w:p>
        </w:tc>
        <w:tc>
          <w:tcPr>
            <w:tcW w:w="1914" w:type="dxa"/>
          </w:tcPr>
          <w:p w14:paraId="1386A023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EBA2B38" w14:textId="759D37F7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06CF7A5" w14:textId="77777777" w:rsidTr="00125807">
        <w:tc>
          <w:tcPr>
            <w:tcW w:w="2127" w:type="dxa"/>
            <w:vAlign w:val="center"/>
          </w:tcPr>
          <w:p w14:paraId="7AC466BD" w14:textId="7EB78E7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moduł analityczny dla Komisji Ekonomicznej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65DDD" w14:textId="2BD17345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86BD535" w14:textId="57607E99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03-2026</w:t>
            </w:r>
          </w:p>
        </w:tc>
        <w:tc>
          <w:tcPr>
            <w:tcW w:w="1914" w:type="dxa"/>
          </w:tcPr>
          <w:p w14:paraId="7BDF17A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89AA9B3" w14:textId="2B78F2B9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46783A4" w14:textId="77777777" w:rsidTr="00125807">
        <w:tc>
          <w:tcPr>
            <w:tcW w:w="2127" w:type="dxa"/>
            <w:vAlign w:val="center"/>
          </w:tcPr>
          <w:p w14:paraId="5EF570DD" w14:textId="62E0B92D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Wdrożona funkcjonalność - komunikacja z Konsultantami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BB89" w14:textId="1D3FE5C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22E23ACE" w14:textId="6F93B95A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05-2026</w:t>
            </w:r>
          </w:p>
        </w:tc>
        <w:tc>
          <w:tcPr>
            <w:tcW w:w="1914" w:type="dxa"/>
          </w:tcPr>
          <w:p w14:paraId="5BF6C7FA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562A52D" w14:textId="5A045D93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A808FA8" w14:textId="77777777" w:rsidTr="00125807">
        <w:tc>
          <w:tcPr>
            <w:tcW w:w="2127" w:type="dxa"/>
            <w:vAlign w:val="center"/>
          </w:tcPr>
          <w:p w14:paraId="57E3B649" w14:textId="622CE6A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zmodyfikowany RPL w zakresie modułu „Pobieranie informacji o produktach leczniczych dopuszczonych do obrotu”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E270" w14:textId="375EB040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2FFCD4F" w14:textId="7CC156B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0A743BC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824E561" w14:textId="7486BD58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6350A551" w14:textId="77777777" w:rsidTr="00125807">
        <w:tc>
          <w:tcPr>
            <w:tcW w:w="2127" w:type="dxa"/>
            <w:vAlign w:val="center"/>
          </w:tcPr>
          <w:p w14:paraId="4B4D7529" w14:textId="6F99D023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zmodyfikowany ZSMOPL w zakresie modułu "Obsługa komunikatów obrotów i stanów, planowania dostaw oraz braków produktów" i "Obsługa raportów”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8473" w14:textId="469C607D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DAA38D2" w14:textId="55A4615A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6652B2AB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9D36EC" w14:textId="701ADD37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FC5442B" w14:textId="77777777" w:rsidTr="00125807">
        <w:tc>
          <w:tcPr>
            <w:tcW w:w="2127" w:type="dxa"/>
            <w:vAlign w:val="center"/>
          </w:tcPr>
          <w:p w14:paraId="056AF022" w14:textId="7AD2BA6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lastRenderedPageBreak/>
              <w:t>Zakończone prace nad dokumentacją/materiałami szkoleniowymi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B0CFC" w14:textId="782E820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B7E0812" w14:textId="06ECD14F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0D08835E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AA4650C" w14:textId="51A577BF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08682C05" w14:textId="77777777" w:rsidTr="00125807">
        <w:tc>
          <w:tcPr>
            <w:tcW w:w="2127" w:type="dxa"/>
            <w:vAlign w:val="center"/>
          </w:tcPr>
          <w:p w14:paraId="48F924DC" w14:textId="66B1BD5F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moduł obsługi trybu odwoławczego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F56C" w14:textId="2B4073C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15F007B" w14:textId="5AF4A51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14A25D2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3DB8ACA" w14:textId="53EFC276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0BDAA673" w14:textId="77777777" w:rsidTr="00125807">
        <w:tc>
          <w:tcPr>
            <w:tcW w:w="2127" w:type="dxa"/>
            <w:vAlign w:val="center"/>
          </w:tcPr>
          <w:p w14:paraId="6D9A88EC" w14:textId="4BBADB9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testy wewnętrzne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3B500" w14:textId="62A79780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C3B729" w14:textId="55481B12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09-2026</w:t>
            </w:r>
          </w:p>
        </w:tc>
        <w:tc>
          <w:tcPr>
            <w:tcW w:w="1914" w:type="dxa"/>
          </w:tcPr>
          <w:p w14:paraId="46568AE4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11B355B" w14:textId="30040E2C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1D29D370" w14:textId="77777777" w:rsidTr="00125807">
        <w:tc>
          <w:tcPr>
            <w:tcW w:w="2127" w:type="dxa"/>
            <w:vAlign w:val="center"/>
          </w:tcPr>
          <w:p w14:paraId="6A923D91" w14:textId="5A87609C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 Przeprowadzone szkolenia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D545" w14:textId="526BF865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1279A1" w14:textId="1DFEBF28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10-2026</w:t>
            </w:r>
          </w:p>
        </w:tc>
        <w:tc>
          <w:tcPr>
            <w:tcW w:w="1914" w:type="dxa"/>
          </w:tcPr>
          <w:p w14:paraId="36D0ECDB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81B5F75" w14:textId="26A077A4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133E5295" w14:textId="77777777" w:rsidTr="00125807">
        <w:tc>
          <w:tcPr>
            <w:tcW w:w="2127" w:type="dxa"/>
            <w:vAlign w:val="center"/>
          </w:tcPr>
          <w:p w14:paraId="768D7749" w14:textId="16922D5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Przeprowadzone testy i wdrożone poprawki UAT/F&amp;F (MZ, AOTMiT, CEZ)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311E" w14:textId="13250DF1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03720A4" w14:textId="3293967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10-2026</w:t>
            </w:r>
          </w:p>
        </w:tc>
        <w:tc>
          <w:tcPr>
            <w:tcW w:w="1914" w:type="dxa"/>
          </w:tcPr>
          <w:p w14:paraId="6DEC1E2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64C96B5" w14:textId="751A9741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4D6AFA2" w14:textId="77777777" w:rsidTr="00125807">
        <w:tc>
          <w:tcPr>
            <w:tcW w:w="2127" w:type="dxa"/>
            <w:vAlign w:val="center"/>
          </w:tcPr>
          <w:p w14:paraId="71AC4B19" w14:textId="00E164C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dokumentacją techniczną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F4FD" w14:textId="0F94827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3C8984D" w14:textId="56EB8A91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11-2026</w:t>
            </w:r>
          </w:p>
        </w:tc>
        <w:tc>
          <w:tcPr>
            <w:tcW w:w="1914" w:type="dxa"/>
          </w:tcPr>
          <w:p w14:paraId="5187AEB1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D45ABA5" w14:textId="1829A029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7CE48671" w14:textId="77777777" w:rsidTr="00125807">
        <w:tc>
          <w:tcPr>
            <w:tcW w:w="2127" w:type="dxa"/>
            <w:vAlign w:val="center"/>
          </w:tcPr>
          <w:p w14:paraId="58A82FE6" w14:textId="61E4E74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Raport z zakończonych testów z wynikiem pozytywnym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60CC" w14:textId="4F5DAD47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8884E92" w14:textId="74B60452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003B166D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5D80FD6" w14:textId="0FF20F00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A342495" w14:textId="77777777" w:rsidTr="00125807">
        <w:tc>
          <w:tcPr>
            <w:tcW w:w="2127" w:type="dxa"/>
            <w:vAlign w:val="center"/>
          </w:tcPr>
          <w:p w14:paraId="16F1522F" w14:textId="2589BB0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Przeprowadzona migracja danych – z SOLR do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A147" w14:textId="57CD5069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3E39F038" w14:textId="6815DC8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4FC15C8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8067144" w14:textId="54363F20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27899" w:rsidRPr="002B50C0" w14:paraId="113F6DCC" w14:textId="77777777" w:rsidTr="00125807">
        <w:tc>
          <w:tcPr>
            <w:tcW w:w="2127" w:type="dxa"/>
            <w:vAlign w:val="center"/>
          </w:tcPr>
          <w:p w14:paraId="222292AD" w14:textId="2FD9DDBB" w:rsidR="00D27899" w:rsidRPr="001633C4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produkcyjnie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835E9" w14:textId="37B5CA44" w:rsidR="002F70F9" w:rsidRDefault="00BC6DC4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KPI 1</w:t>
            </w:r>
            <w:r w:rsidR="002F70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0FC2">
              <w:rPr>
                <w:rFonts w:ascii="Arial" w:hAnsi="Arial" w:cs="Arial"/>
                <w:sz w:val="18"/>
                <w:szCs w:val="18"/>
              </w:rPr>
              <w:t xml:space="preserve">– 1600 </w:t>
            </w:r>
            <w:r w:rsidR="002F70F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8C0213" w14:textId="541D7083" w:rsidR="00EA0FC2" w:rsidRDefault="002F70F9" w:rsidP="00D278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="00BC6DC4" w:rsidRPr="00F77C86">
              <w:rPr>
                <w:rFonts w:ascii="Arial" w:hAnsi="Arial" w:cs="Arial"/>
                <w:sz w:val="18"/>
                <w:szCs w:val="18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0FC2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0FC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CDBCEB5" w14:textId="6E665A01" w:rsidR="00EA0FC2" w:rsidRDefault="00EA0FC2" w:rsidP="00D278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="00BC6DC4" w:rsidRPr="00F77C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– 1 </w:t>
            </w:r>
          </w:p>
          <w:p w14:paraId="068FBB5E" w14:textId="526E2353" w:rsidR="00EA0FC2" w:rsidRDefault="00EA0FC2" w:rsidP="00D278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5 – </w:t>
            </w:r>
            <w:r w:rsidRPr="00BC6DC4">
              <w:rPr>
                <w:rFonts w:ascii="Arial" w:hAnsi="Arial" w:cs="Arial"/>
                <w:sz w:val="18"/>
                <w:szCs w:val="18"/>
              </w:rPr>
              <w:t>8660148,19</w:t>
            </w:r>
          </w:p>
          <w:p w14:paraId="27F375D0" w14:textId="6083410D" w:rsidR="00EA0FC2" w:rsidRDefault="00EA0FC2" w:rsidP="00D278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– 1 </w:t>
            </w:r>
          </w:p>
          <w:p w14:paraId="2361C18E" w14:textId="058A09AA" w:rsidR="00D27899" w:rsidRPr="00F77C86" w:rsidRDefault="00EA0FC2" w:rsidP="00D278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7 – 1  </w:t>
            </w:r>
            <w:r w:rsidR="00BC6DC4" w:rsidRPr="00F77C8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289" w:type="dxa"/>
          </w:tcPr>
          <w:p w14:paraId="784B1BBB" w14:textId="0A18A950" w:rsidR="00D27899" w:rsidRPr="001633C4" w:rsidRDefault="00D27899" w:rsidP="00D27899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7473C925" w14:textId="77777777" w:rsidR="00D27899" w:rsidRPr="001B6667" w:rsidRDefault="00D27899" w:rsidP="00D278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8F88628" w14:textId="40209D72" w:rsidR="00D27899" w:rsidRPr="00D27899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1566" w:rsidRPr="002B50C0" w14:paraId="21A39778" w14:textId="77777777" w:rsidTr="00047D9D">
        <w:tc>
          <w:tcPr>
            <w:tcW w:w="2545" w:type="dxa"/>
          </w:tcPr>
          <w:p w14:paraId="2B019820" w14:textId="2D7DC6D5" w:rsidR="007B1566" w:rsidRPr="00BC6DC4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1: Użytkownicy nowych i zmodernizowanych publicznych usług, produktów i procesów cyfrowych.</w:t>
            </w:r>
          </w:p>
        </w:tc>
        <w:tc>
          <w:tcPr>
            <w:tcW w:w="1278" w:type="dxa"/>
          </w:tcPr>
          <w:p w14:paraId="7735C230" w14:textId="7A9B3574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7771EBE9" w14:textId="0CC912E8" w:rsidR="007B1566" w:rsidRDefault="00FD089B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F49DB" w:rsidRPr="00BC6DC4">
              <w:rPr>
                <w:rFonts w:ascii="Arial" w:hAnsi="Arial" w:cs="Arial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  <w:p w14:paraId="64679EFA" w14:textId="53788D18" w:rsidR="00FD089B" w:rsidRPr="00BC6DC4" w:rsidRDefault="00FD089B" w:rsidP="007B15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4ABA41" w14:textId="7E10090A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2268" w:type="dxa"/>
          </w:tcPr>
          <w:p w14:paraId="2BD83CDC" w14:textId="35974872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204FCE62" w14:textId="77777777" w:rsidTr="00047D9D">
        <w:tc>
          <w:tcPr>
            <w:tcW w:w="2545" w:type="dxa"/>
          </w:tcPr>
          <w:p w14:paraId="103D86AB" w14:textId="29D8EE0B" w:rsidR="007B1566" w:rsidRPr="00BC6DC4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2: 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23640605" w14:textId="5E5F4543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4F47B49F" w14:textId="074EAFCB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CE92A8E" w14:textId="0D1560D1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12-2026</w:t>
            </w:r>
          </w:p>
        </w:tc>
        <w:tc>
          <w:tcPr>
            <w:tcW w:w="2268" w:type="dxa"/>
          </w:tcPr>
          <w:p w14:paraId="6812478D" w14:textId="07C31802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04B54ABA" w14:textId="77777777" w:rsidTr="00047D9D">
        <w:tc>
          <w:tcPr>
            <w:tcW w:w="2545" w:type="dxa"/>
          </w:tcPr>
          <w:p w14:paraId="34C8D71B" w14:textId="7E9DD426" w:rsidR="007B1566" w:rsidRPr="00BC6DC4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3: Liczba podmiotów wspartych w zakresie rozwoju usług, produktów i procesów cyfrowych</w:t>
            </w:r>
          </w:p>
        </w:tc>
        <w:tc>
          <w:tcPr>
            <w:tcW w:w="1278" w:type="dxa"/>
          </w:tcPr>
          <w:p w14:paraId="17F0FD81" w14:textId="42BB4EB8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1339F769" w14:textId="70BAACC0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1D53DCE" w14:textId="0AF36D38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5CB0C653" w14:textId="08FBD256" w:rsidR="007B1566" w:rsidRPr="00BC6DC4" w:rsidRDefault="00EA0FC2" w:rsidP="007B156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5695A32C" w14:textId="77777777" w:rsidTr="00047D9D">
        <w:tc>
          <w:tcPr>
            <w:tcW w:w="2545" w:type="dxa"/>
          </w:tcPr>
          <w:p w14:paraId="660BCF0D" w14:textId="465C0600" w:rsidR="007B1566" w:rsidRPr="00BC6DC4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4: Liczba udostępnionych usług wewnątrzadministracyjnych (A2A)</w:t>
            </w:r>
          </w:p>
        </w:tc>
        <w:tc>
          <w:tcPr>
            <w:tcW w:w="1278" w:type="dxa"/>
          </w:tcPr>
          <w:p w14:paraId="6E13057B" w14:textId="5750F315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6AC61EC4" w14:textId="44822FD2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D973260" w14:textId="20CE6B82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12-2025</w:t>
            </w:r>
          </w:p>
        </w:tc>
        <w:tc>
          <w:tcPr>
            <w:tcW w:w="2268" w:type="dxa"/>
          </w:tcPr>
          <w:p w14:paraId="3C745961" w14:textId="627CA8FD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4CC0372E" w14:textId="77777777" w:rsidTr="00047D9D">
        <w:tc>
          <w:tcPr>
            <w:tcW w:w="2545" w:type="dxa"/>
          </w:tcPr>
          <w:p w14:paraId="1E24B580" w14:textId="77777777" w:rsidR="008F49DB" w:rsidRPr="00BC6DC4" w:rsidRDefault="008F49DB" w:rsidP="008F49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lastRenderedPageBreak/>
              <w:t>KPI 5: Wartość usług, produktów i procesów cyfrowych opracowanych dla</w:t>
            </w:r>
          </w:p>
          <w:p w14:paraId="7068ADD7" w14:textId="01539EEF" w:rsidR="007B1566" w:rsidRPr="00BC6DC4" w:rsidRDefault="008F49DB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</w:rPr>
              <w:t>przedsiębiorstw</w:t>
            </w:r>
          </w:p>
        </w:tc>
        <w:tc>
          <w:tcPr>
            <w:tcW w:w="1278" w:type="dxa"/>
          </w:tcPr>
          <w:p w14:paraId="7AE20C22" w14:textId="7677BE06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</w:t>
            </w:r>
          </w:p>
        </w:tc>
        <w:tc>
          <w:tcPr>
            <w:tcW w:w="1842" w:type="dxa"/>
          </w:tcPr>
          <w:p w14:paraId="4CF87E72" w14:textId="08CAC178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8 660 148,19</w:t>
            </w:r>
          </w:p>
        </w:tc>
        <w:tc>
          <w:tcPr>
            <w:tcW w:w="1701" w:type="dxa"/>
          </w:tcPr>
          <w:p w14:paraId="7417AC42" w14:textId="2458CE8C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2268" w:type="dxa"/>
          </w:tcPr>
          <w:p w14:paraId="4B385FCE" w14:textId="636BEED0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6D2A960C" w14:textId="77777777" w:rsidTr="00047D9D">
        <w:tc>
          <w:tcPr>
            <w:tcW w:w="2545" w:type="dxa"/>
          </w:tcPr>
          <w:p w14:paraId="1354F33B" w14:textId="77777777" w:rsidR="008F49DB" w:rsidRPr="00BC6DC4" w:rsidRDefault="008F49DB" w:rsidP="008F49DB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KPI 6: Liczba uruchomionych systemów teleinformatycznych w podmiotach</w:t>
            </w:r>
          </w:p>
          <w:p w14:paraId="5831252E" w14:textId="3D03E7F0" w:rsidR="007B1566" w:rsidRPr="00BC6DC4" w:rsidRDefault="008F49DB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706C2FB2" w14:textId="2C5CBFF0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016EC5A4" w14:textId="59E5C34B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CF5E" w14:textId="114D9458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C6DC4" w:rsidRPr="00BC6DC4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2268" w:type="dxa"/>
          </w:tcPr>
          <w:p w14:paraId="613FF1C2" w14:textId="3EB599E6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6430C98D" w14:textId="77777777" w:rsidTr="00047D9D">
        <w:tc>
          <w:tcPr>
            <w:tcW w:w="2545" w:type="dxa"/>
          </w:tcPr>
          <w:p w14:paraId="5D486862" w14:textId="4A4F6A8D" w:rsidR="007B1566" w:rsidRPr="00BC6DC4" w:rsidRDefault="00BC6DC4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KPI 7: Liczba udostępnionych API dla innych systemów.</w:t>
            </w:r>
          </w:p>
        </w:tc>
        <w:tc>
          <w:tcPr>
            <w:tcW w:w="1278" w:type="dxa"/>
          </w:tcPr>
          <w:p w14:paraId="3DD95B1B" w14:textId="05B98F5A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 </w:t>
            </w:r>
          </w:p>
        </w:tc>
        <w:tc>
          <w:tcPr>
            <w:tcW w:w="1842" w:type="dxa"/>
          </w:tcPr>
          <w:p w14:paraId="5688FD0A" w14:textId="63B78FCB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060477E" w14:textId="0CE43E7F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12-2026</w:t>
            </w:r>
          </w:p>
        </w:tc>
        <w:tc>
          <w:tcPr>
            <w:tcW w:w="2268" w:type="dxa"/>
          </w:tcPr>
          <w:p w14:paraId="68A384F6" w14:textId="57DDDB74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C427A" w:rsidRPr="00EC427A" w14:paraId="20F685A7" w14:textId="77777777" w:rsidTr="00517F12">
        <w:tc>
          <w:tcPr>
            <w:tcW w:w="2937" w:type="dxa"/>
          </w:tcPr>
          <w:p w14:paraId="2F42773B" w14:textId="3599C707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wniosków refundacyjnych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A2B)</w:t>
            </w:r>
          </w:p>
        </w:tc>
        <w:tc>
          <w:tcPr>
            <w:tcW w:w="1169" w:type="dxa"/>
          </w:tcPr>
          <w:p w14:paraId="23E4D366" w14:textId="6744F2B4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C8EB60A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29EA6A23" w14:textId="09AE4574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05992D5F" w14:textId="77777777" w:rsidTr="00517F12">
        <w:tc>
          <w:tcPr>
            <w:tcW w:w="2937" w:type="dxa"/>
          </w:tcPr>
          <w:p w14:paraId="21FD0491" w14:textId="6775204C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2: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konsultacji zewnętrznych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(A2A)</w:t>
            </w:r>
          </w:p>
        </w:tc>
        <w:tc>
          <w:tcPr>
            <w:tcW w:w="1169" w:type="dxa"/>
          </w:tcPr>
          <w:p w14:paraId="02A502AD" w14:textId="64BDE95E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0F644BB7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15B96D0C" w14:textId="26A4CFAE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39843303" w14:textId="77777777" w:rsidTr="00517F12">
        <w:tc>
          <w:tcPr>
            <w:tcW w:w="2937" w:type="dxa"/>
          </w:tcPr>
          <w:p w14:paraId="473933CC" w14:textId="1364EBC3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3: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trybu odwoławczego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A2B)</w:t>
            </w:r>
          </w:p>
        </w:tc>
        <w:tc>
          <w:tcPr>
            <w:tcW w:w="1169" w:type="dxa"/>
          </w:tcPr>
          <w:p w14:paraId="7884ED53" w14:textId="64AEA10D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E918FA7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140AEF1" w14:textId="2A4171DF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045301E0" w14:textId="77777777" w:rsidTr="00517F12">
        <w:tc>
          <w:tcPr>
            <w:tcW w:w="2937" w:type="dxa"/>
          </w:tcPr>
          <w:p w14:paraId="2DF6ADDE" w14:textId="21B55DC0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4: </w:t>
            </w:r>
            <w:r w:rsidRPr="00EC427A">
              <w:rPr>
                <w:rFonts w:ascii="Arial" w:hAnsi="Arial" w:cs="Arial"/>
                <w:sz w:val="18"/>
                <w:szCs w:val="20"/>
              </w:rPr>
              <w:t>Udostępnienie danych Komisji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C427A">
              <w:rPr>
                <w:rFonts w:ascii="Arial" w:hAnsi="Arial" w:cs="Arial"/>
                <w:sz w:val="18"/>
                <w:szCs w:val="20"/>
              </w:rPr>
              <w:t>Ekonomicznej</w:t>
            </w:r>
            <w:r>
              <w:rPr>
                <w:rFonts w:ascii="Arial" w:hAnsi="Arial" w:cs="Arial"/>
                <w:sz w:val="18"/>
                <w:szCs w:val="20"/>
              </w:rPr>
              <w:t xml:space="preserve"> (A2A)</w:t>
            </w:r>
          </w:p>
        </w:tc>
        <w:tc>
          <w:tcPr>
            <w:tcW w:w="1169" w:type="dxa"/>
          </w:tcPr>
          <w:p w14:paraId="6B78DA4D" w14:textId="1A654AC3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65BAA75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5A70AB7" w14:textId="0B4BDEFA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20C35AB6" w14:textId="77777777" w:rsidTr="00517F12">
        <w:tc>
          <w:tcPr>
            <w:tcW w:w="2937" w:type="dxa"/>
          </w:tcPr>
          <w:p w14:paraId="2DCA6717" w14:textId="45DA5449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5: </w:t>
            </w:r>
            <w:r w:rsidRPr="00EC427A">
              <w:rPr>
                <w:rFonts w:ascii="Arial" w:hAnsi="Arial" w:cs="Arial"/>
                <w:sz w:val="18"/>
                <w:szCs w:val="20"/>
              </w:rPr>
              <w:t>Dedykowane pacjentowi udostępnienie informacji o poziomie refundacji dla produktów refundowanych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A2B, A2C)</w:t>
            </w:r>
          </w:p>
        </w:tc>
        <w:tc>
          <w:tcPr>
            <w:tcW w:w="1169" w:type="dxa"/>
          </w:tcPr>
          <w:p w14:paraId="48E1B565" w14:textId="3AF1E8EA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5F8CDF1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05015FC2" w14:textId="7AC06B44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241E2" w:rsidRPr="00B241E2" w14:paraId="153EA8F3" w14:textId="77777777" w:rsidTr="00C6751B">
        <w:tc>
          <w:tcPr>
            <w:tcW w:w="2937" w:type="dxa"/>
          </w:tcPr>
          <w:p w14:paraId="74B45347" w14:textId="4B514FF4" w:rsidR="0074202D" w:rsidRPr="0074202D" w:rsidRDefault="0074202D" w:rsidP="007420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74202D">
              <w:rPr>
                <w:rFonts w:ascii="Arial" w:hAnsi="Arial" w:cs="Arial"/>
                <w:sz w:val="18"/>
                <w:szCs w:val="20"/>
              </w:rPr>
              <w:t>ykaz refundowanych leków,</w:t>
            </w:r>
          </w:p>
          <w:p w14:paraId="44EBC6E0" w14:textId="77777777" w:rsidR="0074202D" w:rsidRPr="0074202D" w:rsidRDefault="0074202D" w:rsidP="0074202D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środków spożywczych</w:t>
            </w:r>
          </w:p>
          <w:p w14:paraId="2439516C" w14:textId="77777777" w:rsidR="0074202D" w:rsidRPr="0074202D" w:rsidRDefault="0074202D" w:rsidP="0074202D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specjalnego przeznaczenia</w:t>
            </w:r>
          </w:p>
          <w:p w14:paraId="45F5721A" w14:textId="77777777" w:rsidR="0074202D" w:rsidRPr="0074202D" w:rsidRDefault="0074202D" w:rsidP="0074202D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żywieniowego oraz wyrobów</w:t>
            </w:r>
          </w:p>
          <w:p w14:paraId="46265E90" w14:textId="6BE4D0AD" w:rsidR="00C6751B" w:rsidRPr="00B241E2" w:rsidRDefault="0074202D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medycznych</w:t>
            </w:r>
          </w:p>
        </w:tc>
        <w:tc>
          <w:tcPr>
            <w:tcW w:w="1169" w:type="dxa"/>
          </w:tcPr>
          <w:p w14:paraId="6D7C5935" w14:textId="072E19B0" w:rsidR="00C6751B" w:rsidRPr="00B241E2" w:rsidRDefault="0074202D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12-2026</w:t>
            </w:r>
          </w:p>
        </w:tc>
        <w:tc>
          <w:tcPr>
            <w:tcW w:w="1134" w:type="dxa"/>
          </w:tcPr>
          <w:p w14:paraId="56773D50" w14:textId="4BCEE2F9" w:rsidR="00C6751B" w:rsidRPr="00B241E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23229D4D" w:rsidR="00C6751B" w:rsidRPr="00B241E2" w:rsidRDefault="0074202D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400A42EF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4A4F" w:rsidRPr="002B50C0" w14:paraId="41469D94" w14:textId="77777777" w:rsidTr="400A42EF">
        <w:tc>
          <w:tcPr>
            <w:tcW w:w="2547" w:type="dxa"/>
          </w:tcPr>
          <w:p w14:paraId="7AAED02E" w14:textId="6EAF2463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Analiza biznesowo-techniczna</w:t>
            </w:r>
          </w:p>
        </w:tc>
        <w:tc>
          <w:tcPr>
            <w:tcW w:w="1701" w:type="dxa"/>
          </w:tcPr>
          <w:p w14:paraId="1F7576F0" w14:textId="61FA9F0F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12-2024</w:t>
            </w:r>
          </w:p>
        </w:tc>
        <w:tc>
          <w:tcPr>
            <w:tcW w:w="1843" w:type="dxa"/>
          </w:tcPr>
          <w:p w14:paraId="7860A356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E670564" w14:textId="50E2CEDA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4FC44D5" w14:textId="77777777" w:rsidTr="400A42EF">
        <w:tc>
          <w:tcPr>
            <w:tcW w:w="2547" w:type="dxa"/>
          </w:tcPr>
          <w:p w14:paraId="42E3FB12" w14:textId="5013EDD7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 xml:space="preserve">Infrastruktura teleinformatyczna uwzględniająca </w:t>
            </w:r>
            <w:r w:rsidRPr="00882FDC">
              <w:lastRenderedPageBreak/>
              <w:t>serwery wirtualne na potrzeby środowiska produkcyjnego, środowiska eveluacyjnego, środowiska testowego, innych środowisk nieprodukcyjnych oraz backup danych</w:t>
            </w:r>
          </w:p>
        </w:tc>
        <w:tc>
          <w:tcPr>
            <w:tcW w:w="1701" w:type="dxa"/>
          </w:tcPr>
          <w:p w14:paraId="3F23C45F" w14:textId="164406E3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lastRenderedPageBreak/>
              <w:t>06-2024</w:t>
            </w:r>
          </w:p>
        </w:tc>
        <w:tc>
          <w:tcPr>
            <w:tcW w:w="1843" w:type="dxa"/>
          </w:tcPr>
          <w:p w14:paraId="5A313A64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D99EBEA" w14:textId="282650D9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FD093C1" w14:textId="77777777" w:rsidTr="400A42EF">
        <w:tc>
          <w:tcPr>
            <w:tcW w:w="2547" w:type="dxa"/>
          </w:tcPr>
          <w:p w14:paraId="259EECCA" w14:textId="27981EF5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Interfejsy API dla RPL, ZSMOPL, eGabinet, SGR, Hurtowni danych CEZ</w:t>
            </w:r>
          </w:p>
        </w:tc>
        <w:tc>
          <w:tcPr>
            <w:tcW w:w="1701" w:type="dxa"/>
          </w:tcPr>
          <w:p w14:paraId="5CEEC68A" w14:textId="0A198A29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01-2026</w:t>
            </w:r>
          </w:p>
        </w:tc>
        <w:tc>
          <w:tcPr>
            <w:tcW w:w="1843" w:type="dxa"/>
          </w:tcPr>
          <w:p w14:paraId="4F438F12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DD497CD" w14:textId="60F84B87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28051845" w14:textId="77777777" w:rsidTr="400A42EF">
        <w:tc>
          <w:tcPr>
            <w:tcW w:w="2547" w:type="dxa"/>
          </w:tcPr>
          <w:p w14:paraId="36172389" w14:textId="11E86C48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Zmodyfikowany system Rejestr Produktów Leczniczych (RPL) w zakresie modułu: Pobieranie informacji o produktach leczniczych dopuszczonych do obrotu</w:t>
            </w:r>
          </w:p>
        </w:tc>
        <w:tc>
          <w:tcPr>
            <w:tcW w:w="1701" w:type="dxa"/>
          </w:tcPr>
          <w:p w14:paraId="30BB1936" w14:textId="05E03FDB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14C2E950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47D5A7D" w14:textId="30766AD0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3640379F" w14:textId="77777777" w:rsidTr="400A42EF">
        <w:tc>
          <w:tcPr>
            <w:tcW w:w="2547" w:type="dxa"/>
          </w:tcPr>
          <w:p w14:paraId="5A042434" w14:textId="40FBFC0D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Zmodyfikowany Zintegrowany System Monitorowania Obrotu Produktami</w:t>
            </w:r>
            <w:r w:rsidRPr="00882FDC">
              <w:br/>
              <w:t>Leczniczymi (ZSMOPL) w zakresie modułów: "Obsługa komunikatów obrotów</w:t>
            </w:r>
            <w:r w:rsidRPr="00882FDC">
              <w:br/>
              <w:t>i stanów, planowania dostaw oraz braków produktów" i "Obsługa raportów"</w:t>
            </w:r>
          </w:p>
        </w:tc>
        <w:tc>
          <w:tcPr>
            <w:tcW w:w="1701" w:type="dxa"/>
          </w:tcPr>
          <w:p w14:paraId="6BEDB5F4" w14:textId="0241672E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196A546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F3458D2" w14:textId="49EC6F33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349D0C9" w14:textId="77777777" w:rsidTr="400A42EF">
        <w:tc>
          <w:tcPr>
            <w:tcW w:w="2547" w:type="dxa"/>
          </w:tcPr>
          <w:p w14:paraId="0D4A1C1B" w14:textId="2B7701E3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Materiały szkoleniowe dla interesariuszy i użytkowników końcowych</w:t>
            </w:r>
          </w:p>
        </w:tc>
        <w:tc>
          <w:tcPr>
            <w:tcW w:w="1701" w:type="dxa"/>
          </w:tcPr>
          <w:p w14:paraId="6F24F2ED" w14:textId="7EFE3E0F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778853FF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40B5F0A" w14:textId="0E72D5DE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3A74D61" w14:textId="77777777" w:rsidTr="400A42EF">
        <w:tc>
          <w:tcPr>
            <w:tcW w:w="2547" w:type="dxa"/>
          </w:tcPr>
          <w:p w14:paraId="293AE51B" w14:textId="0F90213B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Materiały informacyjno-promocyjne</w:t>
            </w:r>
          </w:p>
        </w:tc>
        <w:tc>
          <w:tcPr>
            <w:tcW w:w="1701" w:type="dxa"/>
          </w:tcPr>
          <w:p w14:paraId="5373FF32" w14:textId="60158628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2411F87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0756B6E" w14:textId="66834D0F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B65350C" w14:textId="77777777" w:rsidTr="400A42EF">
        <w:tc>
          <w:tcPr>
            <w:tcW w:w="2547" w:type="dxa"/>
          </w:tcPr>
          <w:p w14:paraId="0362911E" w14:textId="27579E04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wewnętrznych funkcjonalnych </w:t>
            </w:r>
          </w:p>
        </w:tc>
        <w:tc>
          <w:tcPr>
            <w:tcW w:w="1701" w:type="dxa"/>
          </w:tcPr>
          <w:p w14:paraId="7765CC6A" w14:textId="4F639374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175FF84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7C428FC" w14:textId="5630271E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45EE08F1" w14:textId="77777777" w:rsidTr="400A42EF">
        <w:tc>
          <w:tcPr>
            <w:tcW w:w="2547" w:type="dxa"/>
          </w:tcPr>
          <w:p w14:paraId="51869716" w14:textId="6755C12A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bezpieczeństwa</w:t>
            </w:r>
          </w:p>
        </w:tc>
        <w:tc>
          <w:tcPr>
            <w:tcW w:w="1701" w:type="dxa"/>
          </w:tcPr>
          <w:p w14:paraId="335EF571" w14:textId="09BDF126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5CFAD0B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D2595BC" w14:textId="10598E9B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9696D65" w14:textId="77777777" w:rsidTr="400A42EF">
        <w:tc>
          <w:tcPr>
            <w:tcW w:w="2547" w:type="dxa"/>
          </w:tcPr>
          <w:p w14:paraId="2A901898" w14:textId="5FE04D8F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wydajności </w:t>
            </w:r>
          </w:p>
        </w:tc>
        <w:tc>
          <w:tcPr>
            <w:tcW w:w="1701" w:type="dxa"/>
          </w:tcPr>
          <w:p w14:paraId="750C402E" w14:textId="4987A6EE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7207110E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426391B" w14:textId="56C08894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5439ED36" w14:textId="77777777" w:rsidTr="400A42EF">
        <w:tc>
          <w:tcPr>
            <w:tcW w:w="2547" w:type="dxa"/>
          </w:tcPr>
          <w:p w14:paraId="265D780D" w14:textId="3B0C56F8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badań UX </w:t>
            </w:r>
          </w:p>
        </w:tc>
        <w:tc>
          <w:tcPr>
            <w:tcW w:w="1701" w:type="dxa"/>
          </w:tcPr>
          <w:p w14:paraId="6AD34B15" w14:textId="5E935EB1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46F465F4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8F82F43" w14:textId="33447F6A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766E499C" w14:textId="77777777" w:rsidTr="400A42EF">
        <w:tc>
          <w:tcPr>
            <w:tcW w:w="2547" w:type="dxa"/>
          </w:tcPr>
          <w:p w14:paraId="6FFE4AFA" w14:textId="637130C6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Integracyjnych</w:t>
            </w:r>
          </w:p>
        </w:tc>
        <w:tc>
          <w:tcPr>
            <w:tcW w:w="1701" w:type="dxa"/>
          </w:tcPr>
          <w:p w14:paraId="098F3E0D" w14:textId="244B2398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574C3B7C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292D7D2" w14:textId="65D8E3B1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3A3188D7" w14:textId="77777777" w:rsidTr="400A42EF">
        <w:tc>
          <w:tcPr>
            <w:tcW w:w="2547" w:type="dxa"/>
          </w:tcPr>
          <w:p w14:paraId="4440D12F" w14:textId="0868FD1E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UAT</w:t>
            </w:r>
          </w:p>
        </w:tc>
        <w:tc>
          <w:tcPr>
            <w:tcW w:w="1701" w:type="dxa"/>
          </w:tcPr>
          <w:p w14:paraId="05A5D92F" w14:textId="414F67FA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10-2026</w:t>
            </w:r>
          </w:p>
        </w:tc>
        <w:tc>
          <w:tcPr>
            <w:tcW w:w="1843" w:type="dxa"/>
          </w:tcPr>
          <w:p w14:paraId="4689A323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9443EFF" w14:textId="4CA3E381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79D74A8" w14:textId="77777777" w:rsidTr="400A42EF">
        <w:tc>
          <w:tcPr>
            <w:tcW w:w="2547" w:type="dxa"/>
          </w:tcPr>
          <w:p w14:paraId="7650199B" w14:textId="3EC30B91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Dokumentacja techniczna</w:t>
            </w:r>
          </w:p>
        </w:tc>
        <w:tc>
          <w:tcPr>
            <w:tcW w:w="1701" w:type="dxa"/>
          </w:tcPr>
          <w:p w14:paraId="79F3531B" w14:textId="66BE0EAD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06C82022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6856C6D" w14:textId="465B9C69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2F19FAB0" w14:textId="77777777" w:rsidTr="400A42EF">
        <w:tc>
          <w:tcPr>
            <w:tcW w:w="2547" w:type="dxa"/>
          </w:tcPr>
          <w:p w14:paraId="18E50C0B" w14:textId="5B9F7ED5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System Obsługi List Refundacyjnych (SOLR 2.0)</w:t>
            </w:r>
          </w:p>
        </w:tc>
        <w:tc>
          <w:tcPr>
            <w:tcW w:w="1701" w:type="dxa"/>
          </w:tcPr>
          <w:p w14:paraId="260BADFB" w14:textId="43FC9A60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12-2026</w:t>
            </w:r>
          </w:p>
        </w:tc>
        <w:tc>
          <w:tcPr>
            <w:tcW w:w="1843" w:type="dxa"/>
          </w:tcPr>
          <w:p w14:paraId="291E4190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0B42440" w14:textId="78D7791E" w:rsidR="00834A4F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F05AF0">
              <w:rPr>
                <w:rFonts w:ascii="Arial" w:hAnsi="Arial" w:cs="Arial"/>
                <w:sz w:val="18"/>
                <w:szCs w:val="18"/>
              </w:rPr>
              <w:t>P2 RPL Rejestr Produktów Lecznic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F05AF0">
              <w:rPr>
                <w:rFonts w:ascii="Arial" w:hAnsi="Arial" w:cs="Arial"/>
                <w:sz w:val="18"/>
                <w:szCs w:val="18"/>
              </w:rPr>
              <w:t>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4A4F" w:rsidRPr="009D39C1">
              <w:rPr>
                <w:rFonts w:ascii="Arial" w:hAnsi="Arial" w:cs="Arial"/>
                <w:sz w:val="18"/>
                <w:szCs w:val="18"/>
              </w:rPr>
              <w:t>– korzystanie z danych o produktach leczniczych</w:t>
            </w:r>
          </w:p>
          <w:p w14:paraId="48901958" w14:textId="0E312DEB" w:rsidR="00E1703F" w:rsidRPr="009D39C1" w:rsidRDefault="00E1703F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Opis zależności: korzystanie</w:t>
            </w:r>
          </w:p>
          <w:p w14:paraId="684CADA0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2F9AEEA5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C255" w14:textId="0A105509" w:rsidR="00834A4F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UEOZ (ePLOZ) - korzystanie przez SOLR z danych służących potwierdzaniu tożsamości cyfrowej użytkowników.</w:t>
            </w:r>
          </w:p>
          <w:p w14:paraId="75A84818" w14:textId="3523C345" w:rsidR="00E1703F" w:rsidRPr="009D39C1" w:rsidRDefault="00E1703F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BFF9D92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79213DA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DB674E" w14:textId="757DEF12" w:rsidR="00834A4F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 xml:space="preserve">eGate – 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>umożliwienie przekazywania podpisanych dokumentów</w:t>
            </w:r>
          </w:p>
          <w:p w14:paraId="45D38B18" w14:textId="3450C37C" w:rsidR="00E1703F" w:rsidRPr="009D39C1" w:rsidRDefault="00E1703F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0DBD178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5FCD3186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0E823E" w14:textId="3DB3FCC4" w:rsidR="00834A4F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P4 </w:t>
            </w:r>
            <w:r w:rsidR="00834A4F" w:rsidRPr="009D39C1">
              <w:rPr>
                <w:rFonts w:ascii="Arial" w:hAnsi="Arial" w:cs="Arial"/>
                <w:sz w:val="18"/>
                <w:szCs w:val="18"/>
              </w:rPr>
              <w:t>ZSMOPL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02B94419" w14:textId="12C03104" w:rsidR="00E1703F" w:rsidRPr="009D39C1" w:rsidRDefault="00E1703F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7C2B2F3F" w14:textId="0E0E5333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5A5AC0EC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22625910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C1C39" w14:textId="77777777" w:rsid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Hurtownia Danych CeZ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255BB29A" w14:textId="776DB689" w:rsidR="00E1703F" w:rsidRPr="009D39C1" w:rsidRDefault="00E1703F" w:rsidP="009D39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60ADB252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305371C1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583EC9" w14:textId="77777777" w:rsid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P1 eGabinrt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612CFB10" w14:textId="70095B97" w:rsidR="00E1703F" w:rsidRPr="009D39C1" w:rsidRDefault="00E1703F" w:rsidP="009D39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38B4CB60" w14:textId="1E9B3626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074EEE17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3D53720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0261A5" w14:textId="65D707CC" w:rsid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P1 – Recepty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953">
              <w:rPr>
                <w:rFonts w:ascii="Arial" w:hAnsi="Arial" w:cs="Arial"/>
                <w:sz w:val="18"/>
                <w:szCs w:val="18"/>
              </w:rPr>
              <w:t xml:space="preserve">(SGR) 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>– udostępnianie przez system SOLR listy leków refundowanych</w:t>
            </w:r>
          </w:p>
          <w:p w14:paraId="6ABD733C" w14:textId="0C6E9370" w:rsidR="00E1703F" w:rsidRPr="009D39C1" w:rsidRDefault="00E1703F" w:rsidP="009D39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0AEAF0DA" w14:textId="508F71C2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28D6D071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8C600D1" w14:textId="20FF2B44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C83F6B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400A42EF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R</w:t>
      </w:r>
      <w:r w:rsidR="00304D04" w:rsidRPr="400A42EF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yzyka</w:t>
      </w:r>
      <w:r w:rsidR="00B41415" w:rsidRPr="400A42EF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="00DA34DF" w:rsidRPr="400A42EF">
        <w:rPr>
          <w:rFonts w:ascii="Arial" w:hAnsi="Arial" w:cs="Arial"/>
          <w:color w:val="0070C0"/>
        </w:rPr>
        <w:t xml:space="preserve"> </w:t>
      </w:r>
      <w:r w:rsidR="00B41415" w:rsidRPr="400A42EF">
        <w:rPr>
          <w:rFonts w:ascii="Arial" w:hAnsi="Arial" w:cs="Arial"/>
          <w:color w:val="0070C0"/>
        </w:rPr>
        <w:t xml:space="preserve"> </w:t>
      </w:r>
      <w:r w:rsidR="00DA34DF" w:rsidRPr="400A42EF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400A42EF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400A42E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400A42E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10D19" w:rsidRPr="002B50C0" w14:paraId="3BB31730" w14:textId="77777777" w:rsidTr="400A42EF">
        <w:tc>
          <w:tcPr>
            <w:tcW w:w="3265" w:type="dxa"/>
            <w:vAlign w:val="center"/>
          </w:tcPr>
          <w:p w14:paraId="523D1D9E" w14:textId="3C795C8F" w:rsidR="00D10D19" w:rsidRPr="00616C23" w:rsidRDefault="00D10D19" w:rsidP="00D10D19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Braku możliwości dofinansowania</w:t>
            </w:r>
          </w:p>
          <w:p w14:paraId="05A0D7DE" w14:textId="0DA61111" w:rsidR="00D10D19" w:rsidRPr="00616C23" w:rsidRDefault="00D10D19" w:rsidP="00D10D19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projektu z FERC</w:t>
            </w:r>
          </w:p>
        </w:tc>
        <w:tc>
          <w:tcPr>
            <w:tcW w:w="1697" w:type="dxa"/>
          </w:tcPr>
          <w:p w14:paraId="0686178C" w14:textId="2C69087B" w:rsidR="00D10D19" w:rsidRPr="00616C23" w:rsidRDefault="00616C23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1421CAA" w14:textId="0E46D178" w:rsidR="00D10D19" w:rsidRPr="00616C23" w:rsidRDefault="00616C2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21BA1EE7" w14:textId="77777777" w:rsidR="00513406" w:rsidRPr="007D2FDE" w:rsidRDefault="00513406" w:rsidP="00513406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14E992DD" w14:textId="3A54AC23" w:rsidR="00513406" w:rsidRPr="00513406" w:rsidRDefault="00513406" w:rsidP="00513406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opracowanie kompleksowej i na najwyższym poziomie dokumentacji na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podstawie, której realizowana będzie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ocena Wniosku o dofinansowanie,</w:t>
            </w:r>
          </w:p>
          <w:p w14:paraId="5F4AEFEF" w14:textId="555C56CD" w:rsidR="00513406" w:rsidRPr="00513406" w:rsidRDefault="00513406" w:rsidP="00513406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realizacja Projektu ze środków budżetu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państwa.</w:t>
            </w:r>
          </w:p>
          <w:p w14:paraId="704F78F0" w14:textId="7EE3A999" w:rsidR="00513406" w:rsidRPr="00E06B20" w:rsidRDefault="00513406" w:rsidP="00513406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1340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 xml:space="preserve">Spodziewane lub </w:t>
            </w: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faktyczne efekty działań:</w:t>
            </w:r>
          </w:p>
          <w:p w14:paraId="4052988C" w14:textId="7D72F5DE" w:rsidR="00D10D19" w:rsidRPr="002F70F9" w:rsidRDefault="00E06B20" w:rsidP="002F70F9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Podpisanie porozumienia o dofinansowanie</w:t>
            </w:r>
          </w:p>
        </w:tc>
      </w:tr>
      <w:tr w:rsidR="00616C23" w:rsidRPr="002B50C0" w14:paraId="36761182" w14:textId="77777777" w:rsidTr="400A42EF">
        <w:tc>
          <w:tcPr>
            <w:tcW w:w="3265" w:type="dxa"/>
            <w:vAlign w:val="center"/>
          </w:tcPr>
          <w:p w14:paraId="5084C1FC" w14:textId="47AF0B61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lastRenderedPageBreak/>
              <w:t>Zmiana składu zespołu  projektowego</w:t>
            </w:r>
          </w:p>
        </w:tc>
        <w:tc>
          <w:tcPr>
            <w:tcW w:w="1697" w:type="dxa"/>
          </w:tcPr>
          <w:p w14:paraId="1012C9E6" w14:textId="60E92449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3BD83EDE" w14:textId="364D9F1D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275DE619" w14:textId="77777777" w:rsidR="00513406" w:rsidRPr="00E06B20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02E46290" w14:textId="45068594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bieżące reagowanie na zmianę składu zespołu</w:t>
            </w:r>
          </w:p>
          <w:p w14:paraId="0DD0C8AE" w14:textId="19BB9478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systematyczne planowanie i monitorowanie prac zespołu</w:t>
            </w:r>
          </w:p>
          <w:p w14:paraId="45AB22C9" w14:textId="6B992CE8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prowadzenie repozytorium projektowego, w którym umieszczane są wszelkie informacje o stanie, poszczególnych zadań oraz dokumentach związanych z nimi,</w:t>
            </w:r>
          </w:p>
          <w:p w14:paraId="737E62DD" w14:textId="4715A654" w:rsidR="00A773D1" w:rsidRPr="00E06B20" w:rsidRDefault="00A773D1" w:rsidP="001E6FA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wykorzystywanie systemu motywowania.</w:t>
            </w:r>
          </w:p>
          <w:p w14:paraId="244A883D" w14:textId="25A65EFD" w:rsidR="00513406" w:rsidRPr="00E06B20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6B090355" w14:textId="73DEF44C" w:rsidR="00616C23" w:rsidRPr="00E06B20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Mała rotacja wśród członków zespołu.</w:t>
            </w:r>
          </w:p>
          <w:p w14:paraId="71F09AF8" w14:textId="018F5C92" w:rsidR="00E06B20" w:rsidRPr="00E06B20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Zachowanie ciągłości wiedzy w projekcie poprzez gromadzenie dokumentacji.</w:t>
            </w:r>
          </w:p>
        </w:tc>
      </w:tr>
      <w:tr w:rsidR="00616C23" w:rsidRPr="002B50C0" w14:paraId="03D31F3A" w14:textId="77777777" w:rsidTr="400A42EF">
        <w:tc>
          <w:tcPr>
            <w:tcW w:w="3265" w:type="dxa"/>
            <w:vAlign w:val="center"/>
          </w:tcPr>
          <w:p w14:paraId="5D0A9450" w14:textId="2DED673B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Nieterminowe przekazywanie</w:t>
            </w:r>
          </w:p>
          <w:p w14:paraId="4EA08858" w14:textId="2E82727B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wymagań przez głównych interesariuszy</w:t>
            </w:r>
          </w:p>
        </w:tc>
        <w:tc>
          <w:tcPr>
            <w:tcW w:w="1697" w:type="dxa"/>
          </w:tcPr>
          <w:p w14:paraId="7F9B8A75" w14:textId="41F157DC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D1B9954" w14:textId="5ADDFE5D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48C6D4BB" w14:textId="77777777" w:rsidR="00513406" w:rsidRPr="007D2FDE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A583C27" w14:textId="445CE6FB" w:rsidR="00A773D1" w:rsidRPr="00A773D1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organizowanie cotygodniowych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spotkań z Właścicielem Biznesowym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celem uzyskania informacji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stanowiących podstawę dla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przygotowania analizy rozwiązań jakie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mają być zawarte w SOLR,</w:t>
            </w:r>
          </w:p>
          <w:p w14:paraId="2DBAE761" w14:textId="60E27435" w:rsidR="00513406" w:rsidRPr="00A773D1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rozpatrywanie ryzyka na poziomie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Komitetu Sterującego.</w:t>
            </w:r>
          </w:p>
          <w:p w14:paraId="764B3606" w14:textId="77777777" w:rsidR="00513406" w:rsidRPr="00E06B20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 xml:space="preserve">Spodziewane lub </w:t>
            </w: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faktyczne efekty działań:</w:t>
            </w:r>
          </w:p>
          <w:p w14:paraId="7BE7417D" w14:textId="6A7FF780" w:rsidR="00616C23" w:rsidRPr="00E06B20" w:rsidRDefault="00E06B20" w:rsidP="00A773D1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Współpraca Interesariuszy z członkami zespołu</w:t>
            </w:r>
          </w:p>
          <w:p w14:paraId="76D5D180" w14:textId="38428663" w:rsidR="00E06B20" w:rsidRPr="00141A92" w:rsidRDefault="00E06B20" w:rsidP="00A773D1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 xml:space="preserve">Przekazywanie przez Interesariuszy wymagań niezbędnych do </w:t>
            </w:r>
            <w:r w:rsidRPr="00E06B20">
              <w:rPr>
                <w:rFonts w:ascii="Arial" w:hAnsi="Arial" w:cs="Arial"/>
                <w:sz w:val="18"/>
                <w:szCs w:val="20"/>
              </w:rPr>
              <w:lastRenderedPageBreak/>
              <w:t>realizacji projektu podczas cyklicznych spotkań.</w:t>
            </w:r>
          </w:p>
        </w:tc>
      </w:tr>
      <w:tr w:rsidR="00616C23" w:rsidRPr="002B50C0" w14:paraId="248F4F14" w14:textId="77777777" w:rsidTr="400A42EF">
        <w:tc>
          <w:tcPr>
            <w:tcW w:w="3265" w:type="dxa"/>
            <w:vAlign w:val="center"/>
          </w:tcPr>
          <w:p w14:paraId="0D3975CF" w14:textId="1CF082B9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lastRenderedPageBreak/>
              <w:t>Zmiany w harmonogramie na skutek</w:t>
            </w:r>
          </w:p>
          <w:p w14:paraId="1D34A2FA" w14:textId="60D49134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zgłaszania przez Właściciela Biznesowego dodatkowych wymagań do innych obszarów systemu</w:t>
            </w:r>
          </w:p>
        </w:tc>
        <w:tc>
          <w:tcPr>
            <w:tcW w:w="1697" w:type="dxa"/>
          </w:tcPr>
          <w:p w14:paraId="075D0978" w14:textId="31EB8462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58BC78C" w14:textId="77777777" w:rsid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  <w:p w14:paraId="544008EB" w14:textId="77777777" w:rsidR="00A95A6E" w:rsidRDefault="00A95A6E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741005C" w14:textId="11742608" w:rsidR="00A95A6E" w:rsidRPr="00616C23" w:rsidRDefault="00A95A6E" w:rsidP="00A95A6E">
            <w:pPr>
              <w:pStyle w:val="Akapitzlist"/>
              <w:numPr>
                <w:ilvl w:val="0"/>
                <w:numId w:val="34"/>
              </w:numPr>
              <w:spacing w:after="120" w:line="256" w:lineRule="auto"/>
              <w:ind w:left="312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0026BD37" w14:textId="77777777" w:rsidR="00513406" w:rsidRPr="007D2FDE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049583B6" w14:textId="77777777" w:rsid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współpraca z WB, omawianie zakresu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proponowanych zmian celem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ograniczenia dodatkowych prac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mających wpływ na harmonogram,</w:t>
            </w:r>
          </w:p>
          <w:p w14:paraId="5000A07D" w14:textId="77777777" w:rsid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ograniczenie zmian do niezbędnego minimum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</w:p>
          <w:p w14:paraId="3F1DDF25" w14:textId="4EECCCC4" w:rsidR="00A773D1" w:rsidRP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nadawanie priorytetów dla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zdefiniowanych wymagań.</w:t>
            </w:r>
          </w:p>
          <w:p w14:paraId="3A4FC14E" w14:textId="21045AD8" w:rsidR="00513406" w:rsidRPr="001164AD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33B79301" w14:textId="682984D8" w:rsidR="00616C23" w:rsidRPr="00141A92" w:rsidRDefault="00A95A6E" w:rsidP="00A95A6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95A6E">
              <w:rPr>
                <w:rFonts w:ascii="Arial" w:hAnsi="Arial" w:cs="Arial"/>
                <w:color w:val="000000" w:themeColor="text1"/>
                <w:sz w:val="18"/>
                <w:szCs w:val="20"/>
              </w:rPr>
              <w:t>minimalizacja prac w obszarach spoza harmonogramu.</w:t>
            </w:r>
          </w:p>
        </w:tc>
      </w:tr>
      <w:tr w:rsidR="00616C23" w:rsidRPr="002B50C0" w14:paraId="02E7460D" w14:textId="77777777" w:rsidTr="400A42EF">
        <w:tc>
          <w:tcPr>
            <w:tcW w:w="3265" w:type="dxa"/>
            <w:vAlign w:val="center"/>
          </w:tcPr>
          <w:p w14:paraId="51BEFA8A" w14:textId="1A1B5BC5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Opóźnienia wynikające z potencjalnych negatywnych wyników testów</w:t>
            </w:r>
          </w:p>
          <w:p w14:paraId="2F1D97F7" w14:textId="55117954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(akceptacyjnych, bezpieczeństwa)</w:t>
            </w:r>
          </w:p>
        </w:tc>
        <w:tc>
          <w:tcPr>
            <w:tcW w:w="1697" w:type="dxa"/>
          </w:tcPr>
          <w:p w14:paraId="1D5BB86C" w14:textId="33426D1B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2BECAF8" w14:textId="2FE3B821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68AD21B8" w14:textId="77777777" w:rsidR="00513406" w:rsidRPr="00F77C86" w:rsidRDefault="00513406" w:rsidP="00A773D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8569F1D" w14:textId="77777777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Dobór doświadczonej kadry (szczególnie dla obszarów: analiza, development, testy).</w:t>
            </w:r>
          </w:p>
          <w:p w14:paraId="325FE21C" w14:textId="77777777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jakości oprogramowania, bliska i częsta współpraca z użytkownikami (w szczególności MZ) oraz z departamentem bezpieczeństwa.</w:t>
            </w:r>
          </w:p>
          <w:p w14:paraId="7F424361" w14:textId="6B2A65F8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Wykonanie testów wewnętrznych</w:t>
            </w:r>
            <w:r w:rsidR="00E06B20"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testów bezpieczeństwa.</w:t>
            </w:r>
          </w:p>
          <w:p w14:paraId="68133A57" w14:textId="4A8F8731" w:rsidR="00513406" w:rsidRPr="00F77C86" w:rsidRDefault="00513406" w:rsidP="00CC0FE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44B9866" w14:textId="77777777" w:rsidR="00F77C86" w:rsidRPr="00F77C86" w:rsidRDefault="5187F176" w:rsidP="00F77C86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odpowiedniej jakości wytwarzanego oprogramowania. </w:t>
            </w:r>
          </w:p>
          <w:p w14:paraId="4C7D6DBA" w14:textId="48580884" w:rsidR="00616C23" w:rsidRPr="00F77C86" w:rsidRDefault="5187F176" w:rsidP="00F77C86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Szybsze reagowanie na pojawiające się błędy. Odpowiednio wcześnie wykryte </w:t>
            </w:r>
            <w:r w:rsidR="5F503B30"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błędy, mogą zmniejszyć nakład pracy i kosztów </w:t>
            </w:r>
            <w:r w:rsidR="632655F6"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>na dalszym etapie projektu.</w:t>
            </w:r>
          </w:p>
        </w:tc>
      </w:tr>
      <w:tr w:rsidR="00616C23" w:rsidRPr="002B50C0" w14:paraId="4426B500" w14:textId="77777777" w:rsidTr="400A42EF">
        <w:tc>
          <w:tcPr>
            <w:tcW w:w="3265" w:type="dxa"/>
            <w:vAlign w:val="center"/>
          </w:tcPr>
          <w:p w14:paraId="77C98CF1" w14:textId="300B1738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Konieczne modyfikacje powiązanych systemów mających bezpośredni</w:t>
            </w:r>
          </w:p>
          <w:p w14:paraId="655CA063" w14:textId="1389FC4E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wpływ na opóźnienia w projekcie</w:t>
            </w:r>
          </w:p>
        </w:tc>
        <w:tc>
          <w:tcPr>
            <w:tcW w:w="1697" w:type="dxa"/>
          </w:tcPr>
          <w:p w14:paraId="2D81DF77" w14:textId="166085EB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A66A87A" w14:textId="4E1B9ECE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07CE5B0D" w14:textId="77777777" w:rsidR="00513406" w:rsidRPr="007D2FDE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1DD2B179" w14:textId="77777777" w:rsidR="00CC0FE4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Bliska współpraca z Product Ownerami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systemów.</w:t>
            </w:r>
          </w:p>
          <w:p w14:paraId="1661C2EC" w14:textId="77777777" w:rsidR="00CC0FE4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Wcześniejsze udostępnienie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dokumentacji integracyjnej.</w:t>
            </w:r>
          </w:p>
          <w:p w14:paraId="2CB8CE56" w14:textId="24740873" w:rsidR="00CC0FE4" w:rsidRPr="00F77C86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Wcześniejsze </w:t>
            </w:r>
            <w:r w:rsidRPr="00F77C86">
              <w:rPr>
                <w:rFonts w:ascii="Arial" w:hAnsi="Arial" w:cs="Arial"/>
                <w:sz w:val="18"/>
                <w:szCs w:val="20"/>
              </w:rPr>
              <w:t>przygotowanie API na środowisku testowym.</w:t>
            </w:r>
          </w:p>
          <w:p w14:paraId="2CB2808C" w14:textId="10AF360A" w:rsidR="00513406" w:rsidRPr="00F77C86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7F5A3EC3" w14:textId="275CFF1B" w:rsidR="00616C23" w:rsidRPr="00EC5D0D" w:rsidRDefault="63B1D36C" w:rsidP="00EC5D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Ścisła współpraca z Kierownikami Projektów</w:t>
            </w:r>
            <w:r w:rsidR="2C7626C3" w:rsidRPr="00F77C86">
              <w:rPr>
                <w:rFonts w:ascii="Arial" w:hAnsi="Arial" w:cs="Arial"/>
                <w:sz w:val="18"/>
                <w:szCs w:val="18"/>
              </w:rPr>
              <w:t>,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Product Ownerami</w:t>
            </w:r>
            <w:r w:rsidR="311B35BB" w:rsidRPr="00F77C86">
              <w:rPr>
                <w:rFonts w:ascii="Arial" w:hAnsi="Arial" w:cs="Arial"/>
                <w:sz w:val="18"/>
                <w:szCs w:val="18"/>
              </w:rPr>
              <w:t xml:space="preserve"> i Analitykami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oraz szybkie dostosowanie do koniecznych modyfikacji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633C4" w:rsidRPr="001B6667" w14:paraId="55BB233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8D6FB0" w14:textId="146AF2CC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Brak zabezpieczenia środków finansowych na utrzymanie po zakończeniu realizacji projektu</w:t>
            </w:r>
          </w:p>
        </w:tc>
        <w:tc>
          <w:tcPr>
            <w:tcW w:w="1701" w:type="dxa"/>
            <w:shd w:val="clear" w:color="auto" w:fill="FFFFFF"/>
          </w:tcPr>
          <w:p w14:paraId="3F027506" w14:textId="799FF52B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C5048F6" w14:textId="215D1DA3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1E855103" w14:textId="63802649" w:rsidR="00513406" w:rsidRDefault="00513406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71272D18" w14:textId="4361EB1B" w:rsidR="001633C4" w:rsidRPr="00681AD2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oraz zabezpieczenie odpowiednich środków budżetowych,</w:t>
            </w:r>
          </w:p>
          <w:p w14:paraId="0F0BE0C8" w14:textId="33EFE209" w:rsidR="001633C4" w:rsidRPr="00681AD2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</w:tc>
      </w:tr>
      <w:tr w:rsidR="001633C4" w:rsidRPr="001B6667" w14:paraId="3F8B825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9A134B" w14:textId="25BB9E21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Niezapewnienie odpowiedniego poziomu dostępności systemu</w:t>
            </w:r>
          </w:p>
        </w:tc>
        <w:tc>
          <w:tcPr>
            <w:tcW w:w="1701" w:type="dxa"/>
            <w:shd w:val="clear" w:color="auto" w:fill="FFFFFF"/>
          </w:tcPr>
          <w:p w14:paraId="23E2DAB9" w14:textId="762DC9D3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0EDA0B5" w14:textId="34114064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442234B" w14:textId="0FC3252F" w:rsidR="00513406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73B0DC1" w14:textId="1850A76D" w:rsidR="001633C4" w:rsidRPr="00681AD2" w:rsidRDefault="00681AD2" w:rsidP="0051340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dogłębna analiza związana z wszelkimi wymogami wydajnościowymi systemu</w:t>
            </w:r>
          </w:p>
        </w:tc>
      </w:tr>
      <w:tr w:rsidR="001633C4" w:rsidRPr="001B6667" w14:paraId="5DA9203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0B3891" w14:textId="1D89CD78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Błędy działania systemu niewykryte na etapie testowania</w:t>
            </w:r>
          </w:p>
        </w:tc>
        <w:tc>
          <w:tcPr>
            <w:tcW w:w="1701" w:type="dxa"/>
            <w:shd w:val="clear" w:color="auto" w:fill="FFFFFF"/>
          </w:tcPr>
          <w:p w14:paraId="1685DD02" w14:textId="6502629E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87C5066" w14:textId="14203B7E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8F2B70" w14:textId="64F919DC" w:rsidR="00513406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F329842" w14:textId="4C7639AB" w:rsidR="00681AD2" w:rsidRPr="00681AD2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wdrożenie odpowiednich procedur dotyczących testów akceptacyjnych oraz wymóg testowania zmian na środowisku testowym przed</w:t>
            </w:r>
          </w:p>
          <w:p w14:paraId="44251526" w14:textId="55E05394" w:rsidR="001633C4" w:rsidRPr="00681AD2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wprowadzeniem na produkcję/wprowadzenie procedur odtworzenia systemu oraz systematycznego tworzenia kopii zapasowych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C6F7900" w:rsidR="00805178" w:rsidRPr="00681AD2" w:rsidRDefault="00681AD2" w:rsidP="00681AD2">
      <w:pPr>
        <w:spacing w:after="0" w:line="240" w:lineRule="auto"/>
        <w:ind w:firstLine="360"/>
        <w:jc w:val="both"/>
        <w:rPr>
          <w:rStyle w:val="Nagwek2Znak"/>
          <w:rFonts w:asciiTheme="minorHAnsi" w:eastAsiaTheme="minorHAnsi" w:hAnsiTheme="minorHAnsi" w:cstheme="minorBidi"/>
          <w:color w:val="auto"/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0FA2F07F" w14:textId="2B64F945" w:rsidR="00BB059E" w:rsidRPr="00681AD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779D6BB" w14:textId="77777777" w:rsidR="00681AD2" w:rsidRPr="00681AD2" w:rsidRDefault="00681AD2" w:rsidP="00681AD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8CDDAF5" w14:textId="5096EF31" w:rsidR="00681AD2" w:rsidRPr="00681AD2" w:rsidRDefault="00C2243A" w:rsidP="00681AD2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Michał Serwa</w:t>
      </w:r>
      <w:r w:rsidR="00681AD2" w:rsidRPr="00681AD2">
        <w:rPr>
          <w:rFonts w:ascii="Arial" w:hAnsi="Arial" w:cs="Arial"/>
          <w:sz w:val="20"/>
          <w:szCs w:val="20"/>
          <w:lang w:eastAsia="pl-PL"/>
        </w:rPr>
        <w:t>, Kierownik Projektu, Centrum e-Zdrowia, e-mail: m.</w:t>
      </w:r>
      <w:r>
        <w:rPr>
          <w:rFonts w:ascii="Arial" w:hAnsi="Arial" w:cs="Arial"/>
          <w:sz w:val="20"/>
          <w:szCs w:val="20"/>
          <w:lang w:eastAsia="pl-PL"/>
        </w:rPr>
        <w:t>serwa</w:t>
      </w:r>
      <w:r w:rsidR="00681AD2" w:rsidRPr="00681AD2">
        <w:rPr>
          <w:rFonts w:ascii="Arial" w:hAnsi="Arial" w:cs="Arial"/>
          <w:sz w:val="20"/>
          <w:szCs w:val="20"/>
          <w:lang w:eastAsia="pl-PL"/>
        </w:rPr>
        <w:t>@cez.gov.pl, tel.:</w:t>
      </w:r>
      <w:r w:rsidR="00D10D19">
        <w:rPr>
          <w:rFonts w:ascii="Arial" w:hAnsi="Arial" w:cs="Arial"/>
          <w:sz w:val="20"/>
          <w:szCs w:val="20"/>
          <w:lang w:eastAsia="pl-PL"/>
        </w:rPr>
        <w:t> </w:t>
      </w:r>
      <w:r w:rsidR="00D10D19" w:rsidRPr="00D10D19">
        <w:rPr>
          <w:rFonts w:ascii="Arial" w:hAnsi="Arial" w:cs="Arial"/>
          <w:sz w:val="20"/>
          <w:szCs w:val="20"/>
          <w:lang w:eastAsia="pl-PL"/>
        </w:rPr>
        <w:t>509323077</w:t>
      </w:r>
    </w:p>
    <w:p w14:paraId="5ACC80B6" w14:textId="20D7F267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82FDC" w14:textId="77777777" w:rsidR="008C1BAF" w:rsidRDefault="008C1BAF" w:rsidP="00BB2420">
      <w:pPr>
        <w:spacing w:after="0" w:line="240" w:lineRule="auto"/>
      </w:pPr>
      <w:r>
        <w:separator/>
      </w:r>
    </w:p>
  </w:endnote>
  <w:endnote w:type="continuationSeparator" w:id="0">
    <w:p w14:paraId="59FCAAB9" w14:textId="77777777" w:rsidR="008C1BAF" w:rsidRDefault="008C1BA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24272" w14:textId="77777777" w:rsidR="008C1BAF" w:rsidRDefault="008C1BAF" w:rsidP="00BB2420">
      <w:pPr>
        <w:spacing w:after="0" w:line="240" w:lineRule="auto"/>
      </w:pPr>
      <w:r>
        <w:separator/>
      </w:r>
    </w:p>
  </w:footnote>
  <w:footnote w:type="continuationSeparator" w:id="0">
    <w:p w14:paraId="43568B5D" w14:textId="77777777" w:rsidR="008C1BAF" w:rsidRDefault="008C1BAF" w:rsidP="00BB2420">
      <w:pPr>
        <w:spacing w:after="0" w:line="240" w:lineRule="auto"/>
      </w:pPr>
      <w:r>
        <w:continuationSeparator/>
      </w:r>
    </w:p>
  </w:footnote>
  <w:footnote w:id="1">
    <w:p w14:paraId="7A89851C" w14:textId="37CBEDCF" w:rsidR="00FD089B" w:rsidRDefault="00FD089B">
      <w:pPr>
        <w:pStyle w:val="Tekstprzypisudolnego"/>
      </w:pPr>
      <w:r>
        <w:rPr>
          <w:rStyle w:val="Odwoanieprzypisudolnego"/>
        </w:rPr>
        <w:footnoteRef/>
      </w:r>
      <w:r>
        <w:t xml:space="preserve"> W zatwierdzonym OZPI błędnie została wskazana wartość 2600 co wynikało z omyłki pisarskiej. </w:t>
      </w:r>
      <w:r>
        <w:rPr>
          <w:rFonts w:ascii="Arial" w:hAnsi="Arial" w:cs="Arial"/>
          <w:sz w:val="18"/>
          <w:szCs w:val="18"/>
        </w:rPr>
        <w:t>Kwestia została opisana w Studium Wykonalności projektu. We Wniosku o Dofinansowanie wskazano właściwą wartość wskaźnika – 1600 szt.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0F62"/>
    <w:multiLevelType w:val="hybridMultilevel"/>
    <w:tmpl w:val="742AF884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A311A"/>
    <w:multiLevelType w:val="hybridMultilevel"/>
    <w:tmpl w:val="F3583F06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B02C0"/>
    <w:multiLevelType w:val="hybridMultilevel"/>
    <w:tmpl w:val="9D147E90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C44001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7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AE0529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6D0C97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FA26C5"/>
    <w:multiLevelType w:val="hybridMultilevel"/>
    <w:tmpl w:val="8AC4266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3B4FDF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7904EA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FE7335"/>
    <w:multiLevelType w:val="hybridMultilevel"/>
    <w:tmpl w:val="A99C410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FA0707E"/>
    <w:multiLevelType w:val="hybridMultilevel"/>
    <w:tmpl w:val="F594EE6C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0486114">
    <w:abstractNumId w:val="23"/>
  </w:num>
  <w:num w:numId="2" w16cid:durableId="1284964899">
    <w:abstractNumId w:val="7"/>
  </w:num>
  <w:num w:numId="3" w16cid:durableId="1966737426">
    <w:abstractNumId w:val="32"/>
  </w:num>
  <w:num w:numId="4" w16cid:durableId="340208203">
    <w:abstractNumId w:val="20"/>
  </w:num>
  <w:num w:numId="5" w16cid:durableId="1808471876">
    <w:abstractNumId w:val="27"/>
  </w:num>
  <w:num w:numId="6" w16cid:durableId="1377395426">
    <w:abstractNumId w:val="10"/>
  </w:num>
  <w:num w:numId="7" w16cid:durableId="1552964478">
    <w:abstractNumId w:val="25"/>
  </w:num>
  <w:num w:numId="8" w16cid:durableId="1504391774">
    <w:abstractNumId w:val="2"/>
  </w:num>
  <w:num w:numId="9" w16cid:durableId="1969120976">
    <w:abstractNumId w:val="17"/>
  </w:num>
  <w:num w:numId="10" w16cid:durableId="742944833">
    <w:abstractNumId w:val="11"/>
  </w:num>
  <w:num w:numId="11" w16cid:durableId="513954988">
    <w:abstractNumId w:val="16"/>
  </w:num>
  <w:num w:numId="12" w16cid:durableId="166986836">
    <w:abstractNumId w:val="26"/>
  </w:num>
  <w:num w:numId="13" w16cid:durableId="1278758730">
    <w:abstractNumId w:val="24"/>
  </w:num>
  <w:num w:numId="14" w16cid:durableId="1615406941">
    <w:abstractNumId w:val="5"/>
  </w:num>
  <w:num w:numId="15" w16cid:durableId="868032557">
    <w:abstractNumId w:val="28"/>
  </w:num>
  <w:num w:numId="16" w16cid:durableId="447242063">
    <w:abstractNumId w:val="18"/>
  </w:num>
  <w:num w:numId="17" w16cid:durableId="947931933">
    <w:abstractNumId w:val="22"/>
  </w:num>
  <w:num w:numId="18" w16cid:durableId="1713648310">
    <w:abstractNumId w:val="21"/>
  </w:num>
  <w:num w:numId="19" w16cid:durableId="856773864">
    <w:abstractNumId w:val="19"/>
  </w:num>
  <w:num w:numId="20" w16cid:durableId="289436634">
    <w:abstractNumId w:val="31"/>
  </w:num>
  <w:num w:numId="21" w16cid:durableId="658000420">
    <w:abstractNumId w:val="29"/>
  </w:num>
  <w:num w:numId="22" w16cid:durableId="1956134193">
    <w:abstractNumId w:val="12"/>
  </w:num>
  <w:num w:numId="23" w16cid:durableId="498619019">
    <w:abstractNumId w:val="30"/>
  </w:num>
  <w:num w:numId="24" w16cid:durableId="1438259576">
    <w:abstractNumId w:val="14"/>
  </w:num>
  <w:num w:numId="25" w16cid:durableId="535585732">
    <w:abstractNumId w:val="13"/>
  </w:num>
  <w:num w:numId="26" w16cid:durableId="993801476">
    <w:abstractNumId w:val="15"/>
  </w:num>
  <w:num w:numId="27" w16cid:durableId="47071439">
    <w:abstractNumId w:val="3"/>
  </w:num>
  <w:num w:numId="28" w16cid:durableId="660892844">
    <w:abstractNumId w:val="4"/>
  </w:num>
  <w:num w:numId="29" w16cid:durableId="865752606">
    <w:abstractNumId w:val="33"/>
  </w:num>
  <w:num w:numId="30" w16cid:durableId="922952946">
    <w:abstractNumId w:val="8"/>
  </w:num>
  <w:num w:numId="31" w16cid:durableId="491608473">
    <w:abstractNumId w:val="0"/>
  </w:num>
  <w:num w:numId="32" w16cid:durableId="726615009">
    <w:abstractNumId w:val="9"/>
  </w:num>
  <w:num w:numId="33" w16cid:durableId="1466701624">
    <w:abstractNumId w:val="1"/>
  </w:num>
  <w:num w:numId="34" w16cid:durableId="843591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33C4"/>
    <w:rsid w:val="00176FBB"/>
    <w:rsid w:val="00181E97"/>
    <w:rsid w:val="00182A08"/>
    <w:rsid w:val="001A2EF2"/>
    <w:rsid w:val="001C2D74"/>
    <w:rsid w:val="001C7FAC"/>
    <w:rsid w:val="001D167C"/>
    <w:rsid w:val="001E0CAC"/>
    <w:rsid w:val="001E116C"/>
    <w:rsid w:val="001E16A3"/>
    <w:rsid w:val="001E1DEA"/>
    <w:rsid w:val="001E7199"/>
    <w:rsid w:val="001F24A0"/>
    <w:rsid w:val="001F67EC"/>
    <w:rsid w:val="0020330A"/>
    <w:rsid w:val="002236CF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70F9"/>
    <w:rsid w:val="0030196F"/>
    <w:rsid w:val="00302775"/>
    <w:rsid w:val="00304D04"/>
    <w:rsid w:val="00310D8E"/>
    <w:rsid w:val="003221F2"/>
    <w:rsid w:val="00322614"/>
    <w:rsid w:val="0032661E"/>
    <w:rsid w:val="00334A24"/>
    <w:rsid w:val="003410FE"/>
    <w:rsid w:val="003508E7"/>
    <w:rsid w:val="003542F1"/>
    <w:rsid w:val="00354EF4"/>
    <w:rsid w:val="00356A3E"/>
    <w:rsid w:val="003642B8"/>
    <w:rsid w:val="00392919"/>
    <w:rsid w:val="003A4115"/>
    <w:rsid w:val="003B5B7A"/>
    <w:rsid w:val="003C7325"/>
    <w:rsid w:val="003D2794"/>
    <w:rsid w:val="003D7DD0"/>
    <w:rsid w:val="003E3144"/>
    <w:rsid w:val="00405EA4"/>
    <w:rsid w:val="0041034F"/>
    <w:rsid w:val="004118A3"/>
    <w:rsid w:val="00423A26"/>
    <w:rsid w:val="00425046"/>
    <w:rsid w:val="004350B8"/>
    <w:rsid w:val="00441F2C"/>
    <w:rsid w:val="00444AAB"/>
    <w:rsid w:val="00450089"/>
    <w:rsid w:val="00461B9F"/>
    <w:rsid w:val="004729D1"/>
    <w:rsid w:val="004C1D48"/>
    <w:rsid w:val="004D65CA"/>
    <w:rsid w:val="004F6E89"/>
    <w:rsid w:val="00504B06"/>
    <w:rsid w:val="005076A1"/>
    <w:rsid w:val="00513213"/>
    <w:rsid w:val="00513406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C23"/>
    <w:rsid w:val="0062054D"/>
    <w:rsid w:val="006334BF"/>
    <w:rsid w:val="00635A54"/>
    <w:rsid w:val="00661A62"/>
    <w:rsid w:val="00670FA3"/>
    <w:rsid w:val="006731D9"/>
    <w:rsid w:val="00681AD2"/>
    <w:rsid w:val="006822BC"/>
    <w:rsid w:val="006948D3"/>
    <w:rsid w:val="006A60AA"/>
    <w:rsid w:val="006B034F"/>
    <w:rsid w:val="006B5117"/>
    <w:rsid w:val="006C78AE"/>
    <w:rsid w:val="006E0CFA"/>
    <w:rsid w:val="006E6205"/>
    <w:rsid w:val="006E6975"/>
    <w:rsid w:val="006F021F"/>
    <w:rsid w:val="006F4D0A"/>
    <w:rsid w:val="00701800"/>
    <w:rsid w:val="00725708"/>
    <w:rsid w:val="00740A47"/>
    <w:rsid w:val="0074202D"/>
    <w:rsid w:val="00746ABD"/>
    <w:rsid w:val="0077418F"/>
    <w:rsid w:val="00775C44"/>
    <w:rsid w:val="00776802"/>
    <w:rsid w:val="0078485C"/>
    <w:rsid w:val="0078594B"/>
    <w:rsid w:val="007924CE"/>
    <w:rsid w:val="00795AFA"/>
    <w:rsid w:val="007A4742"/>
    <w:rsid w:val="007B0251"/>
    <w:rsid w:val="007B1566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4A4F"/>
    <w:rsid w:val="00840749"/>
    <w:rsid w:val="00843A05"/>
    <w:rsid w:val="00856D71"/>
    <w:rsid w:val="0087452F"/>
    <w:rsid w:val="00875528"/>
    <w:rsid w:val="00884686"/>
    <w:rsid w:val="008A332F"/>
    <w:rsid w:val="008A52F6"/>
    <w:rsid w:val="008C1BAF"/>
    <w:rsid w:val="008C4BCD"/>
    <w:rsid w:val="008C6721"/>
    <w:rsid w:val="008D3826"/>
    <w:rsid w:val="008D5B50"/>
    <w:rsid w:val="008F14BA"/>
    <w:rsid w:val="008F2D9B"/>
    <w:rsid w:val="008F49DB"/>
    <w:rsid w:val="008F67EE"/>
    <w:rsid w:val="00907F6D"/>
    <w:rsid w:val="00911190"/>
    <w:rsid w:val="0091332C"/>
    <w:rsid w:val="009256F2"/>
    <w:rsid w:val="00933BEC"/>
    <w:rsid w:val="009347B8"/>
    <w:rsid w:val="00936729"/>
    <w:rsid w:val="00943F2E"/>
    <w:rsid w:val="0095183B"/>
    <w:rsid w:val="00952126"/>
    <w:rsid w:val="00952617"/>
    <w:rsid w:val="009663A6"/>
    <w:rsid w:val="00971A40"/>
    <w:rsid w:val="00976434"/>
    <w:rsid w:val="00992EA3"/>
    <w:rsid w:val="009967CA"/>
    <w:rsid w:val="00996FA6"/>
    <w:rsid w:val="009A17FF"/>
    <w:rsid w:val="009B4423"/>
    <w:rsid w:val="009C6140"/>
    <w:rsid w:val="009C6953"/>
    <w:rsid w:val="009D2FA4"/>
    <w:rsid w:val="009D39C1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4979"/>
    <w:rsid w:val="00A67685"/>
    <w:rsid w:val="00A728AE"/>
    <w:rsid w:val="00A773D1"/>
    <w:rsid w:val="00A804AE"/>
    <w:rsid w:val="00A86449"/>
    <w:rsid w:val="00A87C1C"/>
    <w:rsid w:val="00A92887"/>
    <w:rsid w:val="00A94B56"/>
    <w:rsid w:val="00A95A6E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41E2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C6DC4"/>
    <w:rsid w:val="00BC78CD"/>
    <w:rsid w:val="00BE47CD"/>
    <w:rsid w:val="00BE5BF9"/>
    <w:rsid w:val="00BE63DE"/>
    <w:rsid w:val="00C1106C"/>
    <w:rsid w:val="00C2243A"/>
    <w:rsid w:val="00C26361"/>
    <w:rsid w:val="00C302F1"/>
    <w:rsid w:val="00C3575F"/>
    <w:rsid w:val="00C42AEA"/>
    <w:rsid w:val="00C5500F"/>
    <w:rsid w:val="00C57985"/>
    <w:rsid w:val="00C6751B"/>
    <w:rsid w:val="00CA0D5C"/>
    <w:rsid w:val="00CA516B"/>
    <w:rsid w:val="00CC0FE4"/>
    <w:rsid w:val="00CC7E21"/>
    <w:rsid w:val="00CE74F9"/>
    <w:rsid w:val="00CE7777"/>
    <w:rsid w:val="00CF2E64"/>
    <w:rsid w:val="00D02F6D"/>
    <w:rsid w:val="00D10D19"/>
    <w:rsid w:val="00D22C21"/>
    <w:rsid w:val="00D25CFE"/>
    <w:rsid w:val="00D27899"/>
    <w:rsid w:val="00D4607F"/>
    <w:rsid w:val="00D50407"/>
    <w:rsid w:val="00D57025"/>
    <w:rsid w:val="00D57765"/>
    <w:rsid w:val="00D77F50"/>
    <w:rsid w:val="00D8038E"/>
    <w:rsid w:val="00D859F4"/>
    <w:rsid w:val="00D85A52"/>
    <w:rsid w:val="00D86FEC"/>
    <w:rsid w:val="00D95966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6B20"/>
    <w:rsid w:val="00E11B44"/>
    <w:rsid w:val="00E15DEB"/>
    <w:rsid w:val="00E1688D"/>
    <w:rsid w:val="00E1703F"/>
    <w:rsid w:val="00E203EB"/>
    <w:rsid w:val="00E2547C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7455"/>
    <w:rsid w:val="00E81D7C"/>
    <w:rsid w:val="00E83FA4"/>
    <w:rsid w:val="00E86020"/>
    <w:rsid w:val="00E87A9E"/>
    <w:rsid w:val="00EA0B4F"/>
    <w:rsid w:val="00EA0FC2"/>
    <w:rsid w:val="00EA2EC9"/>
    <w:rsid w:val="00EB00AB"/>
    <w:rsid w:val="00EC2AFC"/>
    <w:rsid w:val="00EC427A"/>
    <w:rsid w:val="00EC5D0D"/>
    <w:rsid w:val="00F02401"/>
    <w:rsid w:val="00F05AF0"/>
    <w:rsid w:val="00F138F7"/>
    <w:rsid w:val="00F2008A"/>
    <w:rsid w:val="00F21D9E"/>
    <w:rsid w:val="00F25348"/>
    <w:rsid w:val="00F45506"/>
    <w:rsid w:val="00F60062"/>
    <w:rsid w:val="00F613CC"/>
    <w:rsid w:val="00F76777"/>
    <w:rsid w:val="00F77C86"/>
    <w:rsid w:val="00F83F2F"/>
    <w:rsid w:val="00F86555"/>
    <w:rsid w:val="00F86C58"/>
    <w:rsid w:val="00FA46A9"/>
    <w:rsid w:val="00FC30C7"/>
    <w:rsid w:val="00FC3B03"/>
    <w:rsid w:val="00FD089B"/>
    <w:rsid w:val="00FF03A2"/>
    <w:rsid w:val="00FF22C4"/>
    <w:rsid w:val="00FF3913"/>
    <w:rsid w:val="00FF6C85"/>
    <w:rsid w:val="0467C8CC"/>
    <w:rsid w:val="062D8967"/>
    <w:rsid w:val="06C5565E"/>
    <w:rsid w:val="074EEE17"/>
    <w:rsid w:val="088EDA78"/>
    <w:rsid w:val="08D5AD4F"/>
    <w:rsid w:val="21A2E4BE"/>
    <w:rsid w:val="28D6D071"/>
    <w:rsid w:val="2C7626C3"/>
    <w:rsid w:val="311B35BB"/>
    <w:rsid w:val="400A42EF"/>
    <w:rsid w:val="406F11E2"/>
    <w:rsid w:val="4A626DEA"/>
    <w:rsid w:val="5187F176"/>
    <w:rsid w:val="52590F45"/>
    <w:rsid w:val="5A5AC0EC"/>
    <w:rsid w:val="5F503B30"/>
    <w:rsid w:val="632655F6"/>
    <w:rsid w:val="63B1D36C"/>
    <w:rsid w:val="705B0160"/>
    <w:rsid w:val="7434087F"/>
    <w:rsid w:val="7A028F9B"/>
    <w:rsid w:val="7D5AE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37B1F24B-F37F-453B-AC1C-A3EF1D02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996FA6"/>
    <w:rPr>
      <w:b/>
      <w:bCs/>
    </w:rPr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locked/>
    <w:rsid w:val="00A95A6E"/>
  </w:style>
  <w:style w:type="character" w:customStyle="1" w:styleId="ui-provider">
    <w:name w:val="ui-provider"/>
    <w:basedOn w:val="Domylnaczcionkaakapitu"/>
    <w:rsid w:val="00F77C86"/>
  </w:style>
  <w:style w:type="paragraph" w:styleId="Poprawka">
    <w:name w:val="Revision"/>
    <w:hidden/>
    <w:uiPriority w:val="99"/>
    <w:semiHidden/>
    <w:rsid w:val="007420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9D708454E2644971EEB31D813D9ED" ma:contentTypeVersion="6" ma:contentTypeDescription="Utwórz nowy dokument." ma:contentTypeScope="" ma:versionID="56802e922c800312d93c9e18da54b03f">
  <xsd:schema xmlns:xsd="http://www.w3.org/2001/XMLSchema" xmlns:xs="http://www.w3.org/2001/XMLSchema" xmlns:p="http://schemas.microsoft.com/office/2006/metadata/properties" xmlns:ns2="7250355b-8af3-4865-a4b0-a2f2103bd14f" xmlns:ns3="5e877b9c-5f50-45a8-822f-23e513fe44dd" targetNamespace="http://schemas.microsoft.com/office/2006/metadata/properties" ma:root="true" ma:fieldsID="9066483b605861164e43a0a12d63a065" ns2:_="" ns3:_="">
    <xsd:import namespace="7250355b-8af3-4865-a4b0-a2f2103bd14f"/>
    <xsd:import namespace="5e877b9c-5f50-45a8-822f-23e513fe44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0355b-8af3-4865-a4b0-a2f2103bd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77b9c-5f50-45a8-822f-23e513fe44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6D6B7B-B901-443C-B7D7-89332ECA1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76CB1-5139-4338-8F09-AEB9CC70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0355b-8af3-4865-a4b0-a2f2103bd14f"/>
    <ds:schemaRef ds:uri="5e877b9c-5f50-45a8-822f-23e513fe44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E29B86-3B3D-4731-874D-225FF544BC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1794</Words>
  <Characters>10769</Characters>
  <Application>Microsoft Office Word</Application>
  <DocSecurity>4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Stępniewska-Sałata Aneta</dc:creator>
  <cp:keywords/>
  <dc:description/>
  <cp:lastModifiedBy>Stępniewska-Sałata Aneta</cp:lastModifiedBy>
  <cp:revision>2</cp:revision>
  <dcterms:created xsi:type="dcterms:W3CDTF">2024-10-17T07:49:00Z</dcterms:created>
  <dcterms:modified xsi:type="dcterms:W3CDTF">2024-10-17T07:49:00Z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0x0101007EF9D708454E2644971EEB31D813D9ED</vt:lpwstr>
  </property>
</Properties>
</file>